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CFC" w:rsidRPr="00304CFC" w:rsidRDefault="00304CFC" w:rsidP="00304CFC">
      <w:pPr>
        <w:spacing w:line="240" w:lineRule="auto"/>
        <w:rPr>
          <w:b/>
        </w:rPr>
      </w:pPr>
      <w:bookmarkStart w:id="0" w:name="_GoBack"/>
      <w:r w:rsidRPr="00304CFC">
        <w:rPr>
          <w:b/>
        </w:rPr>
        <w:t xml:space="preserve">Suplementary </w:t>
      </w:r>
      <w:r w:rsidRPr="00304CFC">
        <w:rPr>
          <w:b/>
        </w:rPr>
        <w:t>Research Highlights</w:t>
      </w:r>
    </w:p>
    <w:bookmarkEnd w:id="0"/>
    <w:p w:rsidR="00304CFC" w:rsidRDefault="00304CFC" w:rsidP="00304CFC">
      <w:pPr>
        <w:spacing w:line="240" w:lineRule="auto"/>
        <w:jc w:val="center"/>
      </w:pPr>
    </w:p>
    <w:p w:rsidR="00304CFC" w:rsidRPr="00A32E5A" w:rsidRDefault="00304CFC" w:rsidP="00304CFC">
      <w:pPr>
        <w:pStyle w:val="ListParagraph"/>
        <w:numPr>
          <w:ilvl w:val="0"/>
          <w:numId w:val="1"/>
        </w:numPr>
        <w:spacing w:line="240" w:lineRule="auto"/>
        <w:rPr>
          <w:szCs w:val="24"/>
        </w:rPr>
      </w:pPr>
      <w:r>
        <w:rPr>
          <w:rFonts w:cs="Times New Roman"/>
          <w:szCs w:val="24"/>
        </w:rPr>
        <w:t xml:space="preserve">Mangrove vegetation’s have ability to accumulate lead contaminant. Lead is accumulated in root, steam, and leaf. Mangrove root is best of lead accumulation. Based on species ability to accumulate lead show that </w:t>
      </w:r>
      <w:r w:rsidRPr="00A94E9B">
        <w:rPr>
          <w:rFonts w:cs="Times New Roman"/>
          <w:i/>
          <w:szCs w:val="24"/>
        </w:rPr>
        <w:t>Bruguiera</w:t>
      </w:r>
      <w:r w:rsidRPr="00A94E9B">
        <w:rPr>
          <w:rFonts w:cs="Times New Roman"/>
          <w:szCs w:val="24"/>
        </w:rPr>
        <w:t xml:space="preserve"> spp </w:t>
      </w:r>
      <w:r>
        <w:rPr>
          <w:rFonts w:cs="Times New Roman"/>
          <w:szCs w:val="24"/>
        </w:rPr>
        <w:t xml:space="preserve"> is best species with lead accumulation between  5.55 – 8.67 mg/kg.  Base on  lead accumulation ability show that  </w:t>
      </w:r>
      <w:r w:rsidRPr="00A94E9B">
        <w:rPr>
          <w:rFonts w:cs="Times New Roman"/>
          <w:szCs w:val="24"/>
        </w:rPr>
        <w:t xml:space="preserve"> </w:t>
      </w:r>
      <w:r w:rsidRPr="00A94E9B">
        <w:rPr>
          <w:rFonts w:cs="Times New Roman"/>
          <w:i/>
          <w:szCs w:val="24"/>
        </w:rPr>
        <w:t>Bruguiera</w:t>
      </w:r>
      <w:r w:rsidRPr="00A94E9B">
        <w:rPr>
          <w:rFonts w:cs="Times New Roman"/>
          <w:szCs w:val="24"/>
        </w:rPr>
        <w:t xml:space="preserve"> spp </w:t>
      </w:r>
      <w:r>
        <w:rPr>
          <w:rFonts w:cs="Times New Roman"/>
          <w:szCs w:val="24"/>
        </w:rPr>
        <w:t xml:space="preserve">, </w:t>
      </w:r>
      <w:r w:rsidRPr="00A94E9B">
        <w:rPr>
          <w:rFonts w:cs="Times New Roman"/>
          <w:i/>
          <w:szCs w:val="24"/>
        </w:rPr>
        <w:t>Rhizophora apiculata</w:t>
      </w:r>
      <w:r>
        <w:rPr>
          <w:rFonts w:cs="Times New Roman"/>
          <w:szCs w:val="24"/>
        </w:rPr>
        <w:t xml:space="preserve"> </w:t>
      </w:r>
      <w:r w:rsidRPr="00A94E9B">
        <w:rPr>
          <w:rFonts w:cs="Times New Roman"/>
          <w:szCs w:val="24"/>
        </w:rPr>
        <w:t>,</w:t>
      </w:r>
      <w:r>
        <w:rPr>
          <w:rFonts w:cs="Times New Roman"/>
          <w:szCs w:val="24"/>
        </w:rPr>
        <w:t xml:space="preserve"> </w:t>
      </w:r>
      <w:r w:rsidRPr="00A94E9B">
        <w:rPr>
          <w:rFonts w:cs="Times New Roman"/>
          <w:i/>
          <w:szCs w:val="24"/>
        </w:rPr>
        <w:t>Sonneratia</w:t>
      </w:r>
      <w:r>
        <w:rPr>
          <w:rFonts w:cs="Times New Roman"/>
          <w:szCs w:val="24"/>
        </w:rPr>
        <w:t xml:space="preserve"> spp</w:t>
      </w:r>
      <w:r w:rsidRPr="00A94E9B">
        <w:rPr>
          <w:rFonts w:cs="Times New Roman"/>
          <w:szCs w:val="24"/>
        </w:rPr>
        <w:t xml:space="preserve"> </w:t>
      </w:r>
      <w:r>
        <w:rPr>
          <w:rFonts w:cs="Times New Roman"/>
          <w:szCs w:val="24"/>
        </w:rPr>
        <w:t xml:space="preserve"> </w:t>
      </w:r>
      <w:r w:rsidRPr="00A94E9B">
        <w:rPr>
          <w:rFonts w:cs="Times New Roman"/>
          <w:i/>
          <w:szCs w:val="24"/>
        </w:rPr>
        <w:t>Aegiceras corniculatum</w:t>
      </w:r>
      <w:r>
        <w:rPr>
          <w:rFonts w:cs="Times New Roman"/>
          <w:szCs w:val="24"/>
        </w:rPr>
        <w:t>,</w:t>
      </w:r>
      <w:r w:rsidRPr="00A94E9B">
        <w:rPr>
          <w:rFonts w:cs="Times New Roman"/>
          <w:szCs w:val="24"/>
        </w:rPr>
        <w:t xml:space="preserve"> </w:t>
      </w:r>
      <w:r w:rsidRPr="00A94E9B">
        <w:rPr>
          <w:rFonts w:cs="Times New Roman"/>
          <w:i/>
          <w:szCs w:val="24"/>
        </w:rPr>
        <w:t>Rhizophora mucronata</w:t>
      </w:r>
      <w:r w:rsidRPr="00A94E9B">
        <w:rPr>
          <w:rFonts w:cs="Times New Roman"/>
          <w:szCs w:val="24"/>
        </w:rPr>
        <w:t xml:space="preserve"> </w:t>
      </w:r>
      <w:r>
        <w:rPr>
          <w:rFonts w:cs="Times New Roman"/>
          <w:szCs w:val="24"/>
        </w:rPr>
        <w:t xml:space="preserve">and </w:t>
      </w:r>
      <w:r w:rsidRPr="00A94E9B">
        <w:rPr>
          <w:rFonts w:cs="Times New Roman"/>
          <w:szCs w:val="24"/>
        </w:rPr>
        <w:t xml:space="preserve"> </w:t>
      </w:r>
      <w:r w:rsidRPr="00A94E9B">
        <w:rPr>
          <w:rFonts w:cs="Times New Roman"/>
          <w:i/>
          <w:szCs w:val="24"/>
        </w:rPr>
        <w:t>Avicennia</w:t>
      </w:r>
      <w:r w:rsidRPr="00A94E9B">
        <w:rPr>
          <w:rFonts w:cs="Times New Roman"/>
          <w:szCs w:val="24"/>
        </w:rPr>
        <w:t xml:space="preserve"> spp</w:t>
      </w:r>
      <w:r>
        <w:rPr>
          <w:rFonts w:cs="Times New Roman"/>
          <w:szCs w:val="24"/>
        </w:rPr>
        <w:t xml:space="preserve"> have good adaptation to grow in lead contaminant area.  Base on  BAF dan TF also show that </w:t>
      </w:r>
      <w:r w:rsidRPr="00A94E9B">
        <w:rPr>
          <w:rFonts w:cs="Times New Roman"/>
          <w:i/>
          <w:szCs w:val="24"/>
        </w:rPr>
        <w:t>Rhizophora apiculata</w:t>
      </w:r>
      <w:r w:rsidRPr="00A94E9B">
        <w:rPr>
          <w:rFonts w:cs="Times New Roman"/>
          <w:szCs w:val="24"/>
        </w:rPr>
        <w:t xml:space="preserve">, </w:t>
      </w:r>
      <w:r w:rsidRPr="00A94E9B">
        <w:rPr>
          <w:rFonts w:cs="Times New Roman"/>
          <w:i/>
          <w:szCs w:val="24"/>
        </w:rPr>
        <w:t>Aegiceras corniculatum</w:t>
      </w:r>
      <w:r w:rsidRPr="00A94E9B">
        <w:rPr>
          <w:rFonts w:cs="Times New Roman"/>
          <w:szCs w:val="24"/>
        </w:rPr>
        <w:t xml:space="preserve">, </w:t>
      </w:r>
      <w:r w:rsidRPr="00A94E9B">
        <w:rPr>
          <w:rFonts w:cs="Times New Roman"/>
          <w:i/>
          <w:szCs w:val="24"/>
        </w:rPr>
        <w:t>Sonneratia caseolaris</w:t>
      </w:r>
      <w:r w:rsidRPr="00A94E9B">
        <w:rPr>
          <w:rFonts w:cs="Times New Roman"/>
          <w:szCs w:val="24"/>
        </w:rPr>
        <w:t xml:space="preserve"> </w:t>
      </w:r>
      <w:r>
        <w:rPr>
          <w:rFonts w:cs="Times New Roman"/>
          <w:szCs w:val="24"/>
        </w:rPr>
        <w:t xml:space="preserve"> are higest ability to accumulate lead contaminant.   And the best of mangrove zonning to adapt and accumulate lead contaminant is </w:t>
      </w:r>
      <w:r w:rsidRPr="00A94E9B">
        <w:rPr>
          <w:rFonts w:eastAsia="Times New Roman" w:cs="Times New Roman"/>
          <w:i/>
          <w:iCs/>
          <w:color w:val="000000"/>
          <w:szCs w:val="24"/>
        </w:rPr>
        <w:t>Rhizophora apiculata, Bruguiera sexangula</w:t>
      </w:r>
      <w:r>
        <w:rPr>
          <w:rFonts w:eastAsia="Times New Roman" w:cs="Times New Roman"/>
          <w:i/>
          <w:iCs/>
          <w:color w:val="000000"/>
          <w:szCs w:val="24"/>
        </w:rPr>
        <w:t xml:space="preserve">, </w:t>
      </w:r>
      <w:r w:rsidRPr="00A94E9B">
        <w:rPr>
          <w:rFonts w:cs="Times New Roman"/>
          <w:i/>
          <w:szCs w:val="24"/>
        </w:rPr>
        <w:t>Aegiceras corniculatum</w:t>
      </w:r>
      <w:r w:rsidRPr="00A94E9B">
        <w:rPr>
          <w:rFonts w:eastAsia="Times New Roman" w:cs="Times New Roman"/>
          <w:i/>
          <w:iCs/>
          <w:color w:val="000000"/>
          <w:szCs w:val="24"/>
        </w:rPr>
        <w:t xml:space="preserve"> </w:t>
      </w:r>
      <w:r w:rsidRPr="00A94E9B">
        <w:rPr>
          <w:rFonts w:eastAsia="Times New Roman" w:cs="Times New Roman"/>
          <w:iCs/>
          <w:color w:val="000000"/>
          <w:szCs w:val="24"/>
        </w:rPr>
        <w:t xml:space="preserve">and  </w:t>
      </w:r>
      <w:r w:rsidRPr="00A94E9B">
        <w:rPr>
          <w:rFonts w:eastAsia="Times New Roman" w:cs="Times New Roman"/>
          <w:i/>
          <w:iCs/>
          <w:color w:val="000000"/>
          <w:szCs w:val="24"/>
        </w:rPr>
        <w:t>Sonneratia caseolaris</w:t>
      </w:r>
    </w:p>
    <w:p w:rsidR="00304CFC" w:rsidRPr="00C259EA" w:rsidRDefault="00304CFC" w:rsidP="00304CFC">
      <w:pPr>
        <w:pStyle w:val="ListParagraph"/>
        <w:numPr>
          <w:ilvl w:val="0"/>
          <w:numId w:val="1"/>
        </w:numPr>
        <w:spacing w:line="240" w:lineRule="auto"/>
        <w:rPr>
          <w:szCs w:val="24"/>
        </w:rPr>
      </w:pPr>
      <w:r>
        <w:rPr>
          <w:rFonts w:cs="Times New Roman"/>
          <w:szCs w:val="24"/>
        </w:rPr>
        <w:t>Lead accumulation ability show that</w:t>
      </w:r>
      <w:r w:rsidRPr="00A94E9B">
        <w:rPr>
          <w:rFonts w:cs="Times New Roman"/>
          <w:szCs w:val="24"/>
        </w:rPr>
        <w:t xml:space="preserve"> </w:t>
      </w:r>
      <w:r w:rsidRPr="00A94E9B">
        <w:rPr>
          <w:rFonts w:eastAsia="Times New Roman" w:cs="Times New Roman"/>
          <w:i/>
          <w:iCs/>
          <w:color w:val="000000"/>
          <w:szCs w:val="24"/>
        </w:rPr>
        <w:t>Acrosticum aureum &lt; Avicennia marina &lt; Rhizophora mucronata &lt; Bruguiera parviflora &lt; Sonneratia alba &lt; Aegiceras corniculatum &lt; Bruguiera gymnorrhiza &lt; Bruguiera sexangula &lt; Rhizophora apiculata &lt; Sonneratia caseolaris</w:t>
      </w:r>
      <w:r w:rsidRPr="00A94E9B">
        <w:rPr>
          <w:rFonts w:cs="Times New Roman"/>
          <w:szCs w:val="24"/>
        </w:rPr>
        <w:t xml:space="preserve">. </w:t>
      </w:r>
    </w:p>
    <w:p w:rsidR="00304CFC" w:rsidRPr="00C259EA" w:rsidRDefault="00304CFC" w:rsidP="00304CFC">
      <w:pPr>
        <w:pStyle w:val="ListParagraph"/>
        <w:numPr>
          <w:ilvl w:val="0"/>
          <w:numId w:val="1"/>
        </w:numPr>
        <w:spacing w:line="240" w:lineRule="auto"/>
        <w:rPr>
          <w:szCs w:val="24"/>
        </w:rPr>
      </w:pPr>
      <w:r>
        <w:rPr>
          <w:rFonts w:cs="Times New Roman"/>
          <w:szCs w:val="24"/>
        </w:rPr>
        <w:t>L</w:t>
      </w:r>
      <w:r w:rsidRPr="00A94E9B">
        <w:rPr>
          <w:rFonts w:cs="Times New Roman"/>
          <w:szCs w:val="24"/>
        </w:rPr>
        <w:t xml:space="preserve">ead accumulation  </w:t>
      </w:r>
      <w:r>
        <w:rPr>
          <w:rFonts w:cs="Times New Roman"/>
          <w:szCs w:val="24"/>
        </w:rPr>
        <w:t xml:space="preserve">of soil depth structure are </w:t>
      </w:r>
      <w:r w:rsidRPr="00A94E9B">
        <w:rPr>
          <w:rFonts w:cs="Times New Roman"/>
          <w:szCs w:val="24"/>
        </w:rPr>
        <w:t>(1) for 0 cm  - 50 cm were  5.11 mg/kg – 8.89 mg/kg, (2) for  50 cm – 100 were  3.98 mg/kg – 5.35 mg/kg, (3) for  50 cm - 100  were  2.08 mg/kg – 3.13 mg/kg, (4) for 100 cm – 150 cm were  0.92 mg/kg – 1.15 mg/kg and (5) for 150 cm – 200 cm were  0.56 mg/kg – 0.73 mg/kg</w:t>
      </w:r>
    </w:p>
    <w:p w:rsidR="00304CFC" w:rsidRDefault="00304CFC" w:rsidP="00304CFC">
      <w:pPr>
        <w:pStyle w:val="ListParagraph"/>
        <w:numPr>
          <w:ilvl w:val="0"/>
          <w:numId w:val="1"/>
        </w:numPr>
        <w:spacing w:line="240" w:lineRule="auto"/>
        <w:rPr>
          <w:szCs w:val="24"/>
        </w:rPr>
      </w:pPr>
      <w:r w:rsidRPr="00A94E9B">
        <w:rPr>
          <w:rFonts w:cs="Times New Roman"/>
          <w:szCs w:val="24"/>
        </w:rPr>
        <w:t>Lead accumulation of mangrove root ranged from 4.80 mg/kg to 8.67 mg/kg while the extent on stem and leaf ranged from 2.48 mg/kg – 6.96 mg/kg, and 1.48 mg/kg – 4.76 mg/kg</w:t>
      </w:r>
      <w:r w:rsidRPr="00E85131">
        <w:rPr>
          <w:szCs w:val="24"/>
        </w:rPr>
        <w:t xml:space="preserve">. </w:t>
      </w:r>
    </w:p>
    <w:p w:rsidR="00304CFC" w:rsidRDefault="00304CFC" w:rsidP="00304CFC">
      <w:pPr>
        <w:pStyle w:val="ListParagraph"/>
        <w:numPr>
          <w:ilvl w:val="0"/>
          <w:numId w:val="1"/>
        </w:numPr>
        <w:spacing w:line="240" w:lineRule="auto"/>
        <w:rPr>
          <w:szCs w:val="24"/>
        </w:rPr>
      </w:pPr>
      <w:r>
        <w:rPr>
          <w:szCs w:val="24"/>
        </w:rPr>
        <w:t xml:space="preserve"> </w:t>
      </w:r>
      <w:r w:rsidRPr="00A94E9B">
        <w:rPr>
          <w:rFonts w:cs="Times New Roman"/>
          <w:szCs w:val="24"/>
        </w:rPr>
        <w:t xml:space="preserve">BAF from </w:t>
      </w:r>
      <w:r w:rsidRPr="00A94E9B">
        <w:rPr>
          <w:rFonts w:cs="Times New Roman"/>
          <w:i/>
          <w:szCs w:val="24"/>
        </w:rPr>
        <w:t>Rhizophora apiculata</w:t>
      </w:r>
      <w:r w:rsidRPr="00A94E9B">
        <w:rPr>
          <w:rFonts w:cs="Times New Roman"/>
          <w:szCs w:val="24"/>
        </w:rPr>
        <w:t xml:space="preserve"> (35.8), </w:t>
      </w:r>
      <w:r w:rsidRPr="00A94E9B">
        <w:rPr>
          <w:rFonts w:cs="Times New Roman"/>
          <w:i/>
          <w:szCs w:val="24"/>
        </w:rPr>
        <w:t>Rhizophora mucronata</w:t>
      </w:r>
      <w:r w:rsidRPr="00A94E9B">
        <w:rPr>
          <w:rFonts w:cs="Times New Roman"/>
          <w:szCs w:val="24"/>
        </w:rPr>
        <w:t xml:space="preserve"> (22.2), </w:t>
      </w:r>
      <w:r w:rsidRPr="00A94E9B">
        <w:rPr>
          <w:rFonts w:cs="Times New Roman"/>
          <w:i/>
          <w:szCs w:val="24"/>
        </w:rPr>
        <w:t>Avicennia marina</w:t>
      </w:r>
      <w:r w:rsidRPr="00A94E9B">
        <w:rPr>
          <w:rFonts w:cs="Times New Roman"/>
          <w:szCs w:val="24"/>
        </w:rPr>
        <w:t xml:space="preserve"> (25.9), </w:t>
      </w:r>
      <w:r w:rsidRPr="00A94E9B">
        <w:rPr>
          <w:rFonts w:cs="Times New Roman"/>
          <w:i/>
          <w:szCs w:val="24"/>
        </w:rPr>
        <w:t>Sonneratia alba</w:t>
      </w:r>
      <w:r w:rsidRPr="00A94E9B">
        <w:rPr>
          <w:rFonts w:cs="Times New Roman"/>
          <w:szCs w:val="24"/>
        </w:rPr>
        <w:t xml:space="preserve"> (28.1), </w:t>
      </w:r>
      <w:r w:rsidRPr="00A94E9B">
        <w:rPr>
          <w:rFonts w:cs="Times New Roman"/>
          <w:i/>
          <w:szCs w:val="24"/>
        </w:rPr>
        <w:t>Aegiceras corniculatum</w:t>
      </w:r>
      <w:r w:rsidRPr="00A94E9B">
        <w:rPr>
          <w:rFonts w:cs="Times New Roman"/>
          <w:szCs w:val="24"/>
        </w:rPr>
        <w:t xml:space="preserve"> (42.1), </w:t>
      </w:r>
      <w:r w:rsidRPr="00A94E9B">
        <w:rPr>
          <w:rFonts w:cs="Times New Roman"/>
          <w:i/>
          <w:szCs w:val="24"/>
        </w:rPr>
        <w:t>Bruguiera gymnorrhiza</w:t>
      </w:r>
      <w:r w:rsidRPr="00A94E9B">
        <w:rPr>
          <w:rFonts w:cs="Times New Roman"/>
          <w:szCs w:val="24"/>
        </w:rPr>
        <w:t xml:space="preserve"> (30.2), </w:t>
      </w:r>
      <w:r w:rsidRPr="00A94E9B">
        <w:rPr>
          <w:rFonts w:cs="Times New Roman"/>
          <w:i/>
          <w:szCs w:val="24"/>
        </w:rPr>
        <w:t>Bruguiera praviflora</w:t>
      </w:r>
      <w:r w:rsidRPr="00A94E9B">
        <w:rPr>
          <w:rFonts w:cs="Times New Roman"/>
          <w:szCs w:val="24"/>
        </w:rPr>
        <w:t xml:space="preserve"> (30.4), </w:t>
      </w:r>
      <w:r w:rsidRPr="00A94E9B">
        <w:rPr>
          <w:rFonts w:cs="Times New Roman"/>
          <w:i/>
          <w:szCs w:val="24"/>
        </w:rPr>
        <w:t>Bruguiera sexangula</w:t>
      </w:r>
      <w:r w:rsidRPr="00A94E9B">
        <w:rPr>
          <w:rFonts w:cs="Times New Roman"/>
          <w:szCs w:val="24"/>
        </w:rPr>
        <w:t xml:space="preserve"> (31.2), </w:t>
      </w:r>
      <w:r w:rsidRPr="00A94E9B">
        <w:rPr>
          <w:rFonts w:cs="Times New Roman"/>
          <w:i/>
          <w:szCs w:val="24"/>
        </w:rPr>
        <w:t>Sonneratia caseolaris</w:t>
      </w:r>
      <w:r w:rsidRPr="00A94E9B">
        <w:rPr>
          <w:rFonts w:cs="Times New Roman"/>
          <w:szCs w:val="24"/>
        </w:rPr>
        <w:t xml:space="preserve"> (40.1).</w:t>
      </w:r>
      <w:r>
        <w:rPr>
          <w:rFonts w:cs="Times New Roman"/>
          <w:szCs w:val="24"/>
        </w:rPr>
        <w:t xml:space="preserve"> And </w:t>
      </w:r>
      <w:r w:rsidRPr="00A94E9B">
        <w:rPr>
          <w:rFonts w:cs="Times New Roman"/>
          <w:szCs w:val="24"/>
        </w:rPr>
        <w:t xml:space="preserve">TF from </w:t>
      </w:r>
      <w:r w:rsidRPr="00A94E9B">
        <w:rPr>
          <w:rFonts w:cs="Times New Roman"/>
          <w:i/>
          <w:szCs w:val="24"/>
        </w:rPr>
        <w:t>Rhizophora apiculata</w:t>
      </w:r>
      <w:r w:rsidRPr="00A94E9B">
        <w:rPr>
          <w:rFonts w:cs="Times New Roman"/>
          <w:szCs w:val="24"/>
        </w:rPr>
        <w:t xml:space="preserve"> (1.3), </w:t>
      </w:r>
      <w:r w:rsidRPr="00A94E9B">
        <w:rPr>
          <w:rFonts w:cs="Times New Roman"/>
          <w:i/>
          <w:szCs w:val="24"/>
        </w:rPr>
        <w:t>Rhizophora mucronata</w:t>
      </w:r>
      <w:r w:rsidRPr="00A94E9B">
        <w:rPr>
          <w:rFonts w:cs="Times New Roman"/>
          <w:szCs w:val="24"/>
        </w:rPr>
        <w:t xml:space="preserve"> (0.9), </w:t>
      </w:r>
      <w:r w:rsidRPr="00A94E9B">
        <w:rPr>
          <w:rFonts w:cs="Times New Roman"/>
          <w:i/>
          <w:szCs w:val="24"/>
        </w:rPr>
        <w:t>Avicennia marina</w:t>
      </w:r>
      <w:r w:rsidRPr="00A94E9B">
        <w:rPr>
          <w:rFonts w:cs="Times New Roman"/>
          <w:szCs w:val="24"/>
        </w:rPr>
        <w:t xml:space="preserve"> (1.0), </w:t>
      </w:r>
      <w:r w:rsidRPr="00A94E9B">
        <w:rPr>
          <w:rFonts w:cs="Times New Roman"/>
          <w:i/>
          <w:szCs w:val="24"/>
        </w:rPr>
        <w:t>Sonneratia alba</w:t>
      </w:r>
      <w:r w:rsidRPr="00A94E9B">
        <w:rPr>
          <w:rFonts w:cs="Times New Roman"/>
          <w:szCs w:val="24"/>
        </w:rPr>
        <w:t xml:space="preserve"> (1.0), </w:t>
      </w:r>
      <w:r w:rsidRPr="00A94E9B">
        <w:rPr>
          <w:rFonts w:cs="Times New Roman"/>
          <w:i/>
          <w:szCs w:val="24"/>
        </w:rPr>
        <w:t>Aegiceras corniculatum</w:t>
      </w:r>
      <w:r w:rsidRPr="00A94E9B">
        <w:rPr>
          <w:rFonts w:cs="Times New Roman"/>
          <w:szCs w:val="24"/>
        </w:rPr>
        <w:t xml:space="preserve"> (1.3), </w:t>
      </w:r>
      <w:r w:rsidRPr="00A94E9B">
        <w:rPr>
          <w:rFonts w:cs="Times New Roman"/>
          <w:i/>
          <w:szCs w:val="24"/>
        </w:rPr>
        <w:t>Bruguiera gymnorrhiza</w:t>
      </w:r>
      <w:r w:rsidRPr="00A94E9B">
        <w:rPr>
          <w:rFonts w:cs="Times New Roman"/>
          <w:szCs w:val="24"/>
        </w:rPr>
        <w:t xml:space="preserve"> (1.1), </w:t>
      </w:r>
      <w:r w:rsidRPr="00A94E9B">
        <w:rPr>
          <w:rFonts w:cs="Times New Roman"/>
          <w:i/>
          <w:szCs w:val="24"/>
        </w:rPr>
        <w:t>Bruguiera praviflora</w:t>
      </w:r>
      <w:r w:rsidRPr="00A94E9B">
        <w:rPr>
          <w:rFonts w:cs="Times New Roman"/>
          <w:szCs w:val="24"/>
        </w:rPr>
        <w:t xml:space="preserve"> (1.0), </w:t>
      </w:r>
      <w:r w:rsidRPr="00A94E9B">
        <w:rPr>
          <w:rFonts w:cs="Times New Roman"/>
          <w:i/>
          <w:szCs w:val="24"/>
        </w:rPr>
        <w:t>Bruguiera sexangula</w:t>
      </w:r>
      <w:r w:rsidRPr="00A94E9B">
        <w:rPr>
          <w:rFonts w:cs="Times New Roman"/>
          <w:szCs w:val="24"/>
        </w:rPr>
        <w:t xml:space="preserve"> (0.9), </w:t>
      </w:r>
      <w:r w:rsidRPr="00A94E9B">
        <w:rPr>
          <w:rFonts w:cs="Times New Roman"/>
          <w:i/>
          <w:szCs w:val="24"/>
        </w:rPr>
        <w:t>Sonneratia caseolaris</w:t>
      </w:r>
      <w:r w:rsidRPr="00A94E9B">
        <w:rPr>
          <w:rFonts w:cs="Times New Roman"/>
          <w:szCs w:val="24"/>
        </w:rPr>
        <w:t xml:space="preserve"> (1.2).</w:t>
      </w:r>
      <w:r>
        <w:rPr>
          <w:szCs w:val="24"/>
        </w:rPr>
        <w:t xml:space="preserve">  </w:t>
      </w:r>
    </w:p>
    <w:p w:rsidR="00304CFC" w:rsidRDefault="00304CFC" w:rsidP="00304CFC">
      <w:pPr>
        <w:pStyle w:val="ListParagraph"/>
        <w:spacing w:line="240" w:lineRule="auto"/>
      </w:pPr>
    </w:p>
    <w:p w:rsidR="00304CFC" w:rsidRDefault="00304CFC">
      <w:pPr>
        <w:spacing w:after="200"/>
        <w:jc w:val="left"/>
      </w:pPr>
      <w:r>
        <w:br w:type="page"/>
      </w:r>
    </w:p>
    <w:p w:rsidR="00304CFC" w:rsidRPr="0069645F" w:rsidRDefault="00304CFC" w:rsidP="00304CFC">
      <w:pPr>
        <w:rPr>
          <w:b/>
        </w:rPr>
      </w:pPr>
      <w:r w:rsidRPr="0069645F">
        <w:rPr>
          <w:b/>
        </w:rPr>
        <w:lastRenderedPageBreak/>
        <w:t>Suplementary Figure of Lead</w:t>
      </w:r>
      <w:r>
        <w:rPr>
          <w:b/>
        </w:rPr>
        <w:t xml:space="preserve"> Acuumulation </w:t>
      </w:r>
    </w:p>
    <w:p w:rsidR="00304CFC" w:rsidRDefault="00304CFC" w:rsidP="00304CFC"/>
    <w:p w:rsidR="00304CFC" w:rsidRPr="00A94E9B" w:rsidRDefault="00304CFC" w:rsidP="00304CFC">
      <w:pPr>
        <w:pStyle w:val="ListParagraph"/>
        <w:spacing w:line="480" w:lineRule="auto"/>
        <w:ind w:left="0" w:firstLine="720"/>
        <w:rPr>
          <w:rFonts w:cs="Times New Roman"/>
        </w:rPr>
      </w:pPr>
    </w:p>
    <w:p w:rsidR="00304CFC" w:rsidRPr="00A94E9B" w:rsidRDefault="00304CFC" w:rsidP="00304CFC">
      <w:pPr>
        <w:spacing w:line="480" w:lineRule="auto"/>
        <w:jc w:val="center"/>
        <w:outlineLvl w:val="0"/>
        <w:rPr>
          <w:rFonts w:cs="Times New Roman"/>
          <w:bCs/>
          <w:szCs w:val="24"/>
        </w:rPr>
      </w:pPr>
      <w:r>
        <w:rPr>
          <w:rFonts w:cs="Times New Roman"/>
          <w:bCs/>
          <w:noProof/>
          <w:szCs w:val="24"/>
        </w:rPr>
        <w:drawing>
          <wp:inline distT="0" distB="0" distL="0" distR="0" wp14:anchorId="0E3EEA2D" wp14:editId="1EAA8163">
            <wp:extent cx="3362325" cy="2009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62325" cy="2009775"/>
                    </a:xfrm>
                    <a:prstGeom prst="rect">
                      <a:avLst/>
                    </a:prstGeom>
                    <a:noFill/>
                  </pic:spPr>
                </pic:pic>
              </a:graphicData>
            </a:graphic>
          </wp:inline>
        </w:drawing>
      </w:r>
    </w:p>
    <w:p w:rsidR="00304CFC" w:rsidRDefault="00304CFC" w:rsidP="00304CFC">
      <w:pPr>
        <w:rPr>
          <w:rFonts w:cs="Times New Roman"/>
          <w:bCs/>
          <w:szCs w:val="24"/>
        </w:rPr>
      </w:pPr>
      <w:r w:rsidRPr="00410DB2">
        <w:rPr>
          <w:rFonts w:cs="Times New Roman"/>
          <w:b/>
          <w:bCs/>
          <w:szCs w:val="24"/>
        </w:rPr>
        <w:t>Fig.1</w:t>
      </w:r>
      <w:r w:rsidRPr="00A94E9B">
        <w:rPr>
          <w:rFonts w:cs="Times New Roman"/>
          <w:bCs/>
          <w:szCs w:val="24"/>
        </w:rPr>
        <w:t xml:space="preserve">. Site </w:t>
      </w:r>
      <w:r>
        <w:rPr>
          <w:rFonts w:cs="Times New Roman"/>
          <w:bCs/>
          <w:szCs w:val="24"/>
        </w:rPr>
        <w:t>r</w:t>
      </w:r>
      <w:r w:rsidRPr="00A94E9B">
        <w:rPr>
          <w:rFonts w:cs="Times New Roman"/>
          <w:bCs/>
          <w:szCs w:val="24"/>
        </w:rPr>
        <w:t>esearch</w:t>
      </w:r>
      <w:r>
        <w:rPr>
          <w:rFonts w:cs="Times New Roman"/>
          <w:bCs/>
          <w:szCs w:val="24"/>
        </w:rPr>
        <w:t xml:space="preserve"> in Segara Anakan Lagoon</w:t>
      </w:r>
    </w:p>
    <w:p w:rsidR="00304CFC" w:rsidRDefault="00304CFC" w:rsidP="00304CFC">
      <w:pPr>
        <w:rPr>
          <w:rFonts w:cs="Times New Roman"/>
          <w:bCs/>
          <w:szCs w:val="24"/>
        </w:rPr>
      </w:pPr>
    </w:p>
    <w:p w:rsidR="00304CFC" w:rsidRDefault="00304CFC" w:rsidP="00304CFC">
      <w:pPr>
        <w:rPr>
          <w:rFonts w:cs="Times New Roman"/>
          <w:bCs/>
          <w:szCs w:val="24"/>
        </w:rPr>
      </w:pPr>
    </w:p>
    <w:p w:rsidR="00304CFC" w:rsidRDefault="00304CFC" w:rsidP="00304CFC">
      <w:pPr>
        <w:rPr>
          <w:rFonts w:cs="Times New Roman"/>
          <w:b/>
          <w:bCs/>
          <w:szCs w:val="24"/>
        </w:rPr>
      </w:pPr>
      <w:r w:rsidRPr="0069645F">
        <w:rPr>
          <w:rFonts w:cs="Times New Roman"/>
          <w:b/>
          <w:bCs/>
          <w:szCs w:val="24"/>
        </w:rPr>
        <w:t>Figure of Lead Accumulation</w:t>
      </w:r>
    </w:p>
    <w:p w:rsidR="00304CFC" w:rsidRDefault="00304CFC" w:rsidP="00304CFC">
      <w:pPr>
        <w:rPr>
          <w:rFonts w:cs="Times New Roman"/>
          <w:b/>
          <w:bCs/>
          <w:szCs w:val="24"/>
        </w:rPr>
      </w:pPr>
    </w:p>
    <w:p w:rsidR="00304CFC" w:rsidRPr="00A94E9B" w:rsidRDefault="00304CFC" w:rsidP="00304CFC">
      <w:pPr>
        <w:pStyle w:val="ListParagraph"/>
        <w:spacing w:line="480" w:lineRule="auto"/>
        <w:ind w:left="0" w:firstLine="720"/>
        <w:rPr>
          <w:rFonts w:cs="Times New Roman"/>
          <w:szCs w:val="24"/>
        </w:rPr>
      </w:pPr>
    </w:p>
    <w:p w:rsidR="00304CFC" w:rsidRPr="00A94E9B" w:rsidRDefault="00304CFC" w:rsidP="00304CFC">
      <w:pPr>
        <w:pStyle w:val="ListParagraph"/>
        <w:spacing w:line="480" w:lineRule="auto"/>
        <w:ind w:left="0" w:firstLine="720"/>
        <w:rPr>
          <w:rFonts w:cs="Times New Roman"/>
          <w:szCs w:val="24"/>
        </w:rPr>
      </w:pPr>
      <w:r w:rsidRPr="00A94E9B">
        <w:rPr>
          <w:rFonts w:cs="Times New Roman"/>
          <w:noProof/>
        </w:rPr>
        <w:drawing>
          <wp:inline distT="0" distB="0" distL="0" distR="0" wp14:anchorId="0E327FEB" wp14:editId="426222C1">
            <wp:extent cx="3971925" cy="27051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04CFC" w:rsidRDefault="00304CFC" w:rsidP="00304CFC">
      <w:pPr>
        <w:rPr>
          <w:rFonts w:cs="Times New Roman"/>
          <w:szCs w:val="24"/>
        </w:rPr>
      </w:pPr>
      <w:r>
        <w:rPr>
          <w:rFonts w:cs="Times New Roman"/>
          <w:b/>
          <w:szCs w:val="24"/>
        </w:rPr>
        <w:t>Fig.</w:t>
      </w:r>
      <w:r w:rsidRPr="00410DB2">
        <w:rPr>
          <w:rFonts w:cs="Times New Roman"/>
          <w:b/>
          <w:szCs w:val="24"/>
        </w:rPr>
        <w:t xml:space="preserve"> 2</w:t>
      </w:r>
      <w:r w:rsidRPr="00A94E9B">
        <w:rPr>
          <w:rFonts w:cs="Times New Roman"/>
          <w:szCs w:val="24"/>
        </w:rPr>
        <w:t>. Lead potency in water and sediment</w:t>
      </w:r>
      <w:r>
        <w:rPr>
          <w:rFonts w:cs="Times New Roman"/>
          <w:szCs w:val="24"/>
        </w:rPr>
        <w:t xml:space="preserve"> for lead pollution area in Segara Anakan Lagoon</w:t>
      </w:r>
    </w:p>
    <w:p w:rsidR="00304CFC" w:rsidRDefault="00304CFC" w:rsidP="00304CFC">
      <w:pPr>
        <w:rPr>
          <w:rFonts w:cs="Times New Roman"/>
          <w:szCs w:val="24"/>
        </w:rPr>
      </w:pPr>
    </w:p>
    <w:p w:rsidR="00304CFC" w:rsidRDefault="00304CFC" w:rsidP="00304CFC">
      <w:pPr>
        <w:rPr>
          <w:rFonts w:cs="Times New Roman"/>
          <w:szCs w:val="24"/>
        </w:rPr>
      </w:pPr>
    </w:p>
    <w:p w:rsidR="00304CFC" w:rsidRDefault="00304CFC" w:rsidP="00304CFC">
      <w:pPr>
        <w:rPr>
          <w:rFonts w:cs="Times New Roman"/>
          <w:szCs w:val="24"/>
        </w:rPr>
      </w:pPr>
    </w:p>
    <w:p w:rsidR="00304CFC" w:rsidRPr="00A94E9B" w:rsidRDefault="00304CFC" w:rsidP="00304CFC">
      <w:pPr>
        <w:pStyle w:val="ListParagraph"/>
        <w:spacing w:line="480" w:lineRule="auto"/>
        <w:ind w:left="0" w:firstLine="720"/>
        <w:rPr>
          <w:rFonts w:cs="Times New Roman"/>
          <w:szCs w:val="24"/>
        </w:rPr>
      </w:pPr>
    </w:p>
    <w:p w:rsidR="00304CFC" w:rsidRDefault="00304CFC" w:rsidP="00304CFC">
      <w:pPr>
        <w:rPr>
          <w:rFonts w:cs="Times New Roman"/>
          <w:b/>
          <w:szCs w:val="24"/>
        </w:rPr>
      </w:pPr>
    </w:p>
    <w:p w:rsidR="00304CFC" w:rsidRDefault="00304CFC" w:rsidP="00304CFC">
      <w:pPr>
        <w:rPr>
          <w:rFonts w:cs="Times New Roman"/>
          <w:szCs w:val="24"/>
        </w:rPr>
      </w:pPr>
      <w:r>
        <w:rPr>
          <w:rFonts w:cs="Times New Roman"/>
          <w:b/>
          <w:noProof/>
        </w:rPr>
        <mc:AlternateContent>
          <mc:Choice Requires="wpg">
            <w:drawing>
              <wp:anchor distT="0" distB="0" distL="114300" distR="114300" simplePos="0" relativeHeight="251659264" behindDoc="1" locked="0" layoutInCell="1" allowOverlap="1">
                <wp:simplePos x="0" y="0"/>
                <wp:positionH relativeFrom="column">
                  <wp:posOffset>-108585</wp:posOffset>
                </wp:positionH>
                <wp:positionV relativeFrom="paragraph">
                  <wp:posOffset>8890</wp:posOffset>
                </wp:positionV>
                <wp:extent cx="6076950" cy="4648835"/>
                <wp:effectExtent l="0" t="0" r="19050" b="18415"/>
                <wp:wrapSquare wrapText="bothSides"/>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76950" cy="4648835"/>
                          <a:chOff x="0" y="0"/>
                          <a:chExt cx="6805142" cy="4867275"/>
                        </a:xfrm>
                      </wpg:grpSpPr>
                      <wpg:graphicFrame>
                        <wpg:cNvPr id="1" name="Chart 2"/>
                        <wpg:cNvFrPr/>
                        <wpg:xfrm>
                          <a:off x="2146" y="0"/>
                          <a:ext cx="3253928" cy="2543175"/>
                        </wpg:xfrm>
                        <a:graphic>
                          <a:graphicData uri="http://schemas.openxmlformats.org/drawingml/2006/chart">
                            <c:chart xmlns:c="http://schemas.openxmlformats.org/drawingml/2006/chart" xmlns:r="http://schemas.openxmlformats.org/officeDocument/2006/relationships" r:id="rId8"/>
                          </a:graphicData>
                        </a:graphic>
                      </wpg:graphicFrame>
                      <wpg:graphicFrame>
                        <wpg:cNvPr id="3" name="Chart 3"/>
                        <wpg:cNvFrPr/>
                        <wpg:xfrm>
                          <a:off x="0" y="2518049"/>
                          <a:ext cx="3253928" cy="2349226"/>
                        </wpg:xfrm>
                        <a:graphic>
                          <a:graphicData uri="http://schemas.openxmlformats.org/drawingml/2006/chart">
                            <c:chart xmlns:c="http://schemas.openxmlformats.org/drawingml/2006/chart" xmlns:r="http://schemas.openxmlformats.org/officeDocument/2006/relationships" r:id="rId9"/>
                          </a:graphicData>
                        </a:graphic>
                      </wpg:graphicFrame>
                      <wpg:graphicFrame>
                        <wpg:cNvPr id="4" name="Chart 4"/>
                        <wpg:cNvFrPr/>
                        <wpg:xfrm>
                          <a:off x="3263452" y="0"/>
                          <a:ext cx="3541690" cy="2543175"/>
                        </wpg:xfrm>
                        <a:graphic>
                          <a:graphicData uri="http://schemas.openxmlformats.org/drawingml/2006/chart">
                            <c:chart xmlns:c="http://schemas.openxmlformats.org/drawingml/2006/chart" xmlns:r="http://schemas.openxmlformats.org/officeDocument/2006/relationships" r:id="rId10"/>
                          </a:graphicData>
                        </a:graphic>
                      </wpg:graphicFrame>
                      <wpg:graphicFrame>
                        <wpg:cNvPr id="5" name="Chart 5"/>
                        <wpg:cNvFrPr/>
                        <wpg:xfrm>
                          <a:off x="3259696" y="2524125"/>
                          <a:ext cx="3543300" cy="2339134"/>
                        </wpg:xfrm>
                        <a:graphic>
                          <a:graphicData uri="http://schemas.openxmlformats.org/drawingml/2006/chart">
                            <c:chart xmlns:c="http://schemas.openxmlformats.org/drawingml/2006/chart" xmlns:r="http://schemas.openxmlformats.org/officeDocument/2006/relationships" r:id="rId11"/>
                          </a:graphicData>
                        </a:graphic>
                      </wpg:graphicFrame>
                    </wpg:wgp>
                  </a:graphicData>
                </a:graphic>
                <wp14:sizeRelH relativeFrom="page">
                  <wp14:pctWidth>0</wp14:pctWidth>
                </wp14:sizeRelH>
                <wp14:sizeRelV relativeFrom="page">
                  <wp14:pctHeight>0</wp14:pctHeight>
                </wp14:sizeRelV>
              </wp:anchor>
            </w:drawing>
          </mc:Choice>
          <mc:Fallback>
            <w:pict>
              <v:group id="Group 8" o:spid="_x0000_s1026" style="position:absolute;margin-left:-8.55pt;margin-top:.7pt;width:478.5pt;height:366.05pt;z-index:-251657216" coordsize="68051,48672" o:gfxdata="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2" o:spid="_x0000_s1027" type="#_x0000_t75" style="position:absolute;left:-68;top:-63;width:32698;height:25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">
                  <v:imagedata r:id="rId12" o:title=""/>
                  <o:lock v:ext="edit" aspectratio="f"/>
                </v:shape>
                <v:shape id="Chart 3" o:spid="_x0000_s1028" type="#_x0000_t75" style="position:absolute;left:-68;top:25146;width:32698;height:2361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">
                  <v:imagedata r:id="rId13" o:title=""/>
                  <o:lock v:ext="edit" aspectratio="f"/>
                </v:shape>
                <v:shape id="Chart 4" o:spid="_x0000_s1029" type="#_x0000_t75" style="position:absolute;left:32562;top:-63;width:35566;height:25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">
                  <v:imagedata r:id="rId14" o:title=""/>
                  <o:lock v:ext="edit" aspectratio="f"/>
                </v:shape>
                <v:shape id="Chart 5" o:spid="_x0000_s1030" type="#_x0000_t75" style="position:absolute;left:32562;top:25146;width:35566;height:23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">
                  <v:imagedata r:id="rId15" o:title=""/>
                  <o:lock v:ext="edit" aspectratio="f"/>
                </v:shape>
                <w10:wrap type="square"/>
              </v:group>
            </w:pict>
          </mc:Fallback>
        </mc:AlternateContent>
      </w:r>
      <w:r w:rsidRPr="00410DB2">
        <w:rPr>
          <w:rFonts w:cs="Times New Roman"/>
          <w:b/>
          <w:szCs w:val="24"/>
        </w:rPr>
        <w:t>Fig 3</w:t>
      </w:r>
      <w:r w:rsidRPr="00A94E9B">
        <w:rPr>
          <w:rFonts w:cs="Times New Roman"/>
          <w:szCs w:val="24"/>
        </w:rPr>
        <w:t>. Lead accumulation of tress segment for each mangrove species.</w:t>
      </w:r>
    </w:p>
    <w:p w:rsidR="00304CFC" w:rsidRDefault="00304CFC" w:rsidP="00304CFC">
      <w:pPr>
        <w:rPr>
          <w:rFonts w:cs="Times New Roman"/>
          <w:szCs w:val="24"/>
        </w:rPr>
      </w:pPr>
    </w:p>
    <w:p w:rsidR="00304CFC" w:rsidRDefault="00304CFC" w:rsidP="00304CFC">
      <w:pPr>
        <w:rPr>
          <w:rFonts w:cs="Times New Roman"/>
          <w:szCs w:val="24"/>
        </w:rPr>
      </w:pPr>
    </w:p>
    <w:p w:rsidR="00304CFC" w:rsidRDefault="00304CFC" w:rsidP="00304CFC">
      <w:pPr>
        <w:rPr>
          <w:rFonts w:cs="Times New Roman"/>
          <w:szCs w:val="24"/>
        </w:rPr>
      </w:pPr>
    </w:p>
    <w:p w:rsidR="00304CFC" w:rsidRDefault="00304CFC" w:rsidP="00304CFC">
      <w:pPr>
        <w:rPr>
          <w:rFonts w:cs="Times New Roman"/>
          <w:szCs w:val="24"/>
        </w:rPr>
      </w:pPr>
    </w:p>
    <w:p w:rsidR="00304CFC" w:rsidRDefault="00304CFC" w:rsidP="00304CFC">
      <w:pPr>
        <w:rPr>
          <w:rFonts w:cs="Times New Roman"/>
          <w:szCs w:val="24"/>
        </w:rPr>
      </w:pPr>
    </w:p>
    <w:p w:rsidR="00304CFC" w:rsidRDefault="00304CFC" w:rsidP="00304CFC">
      <w:pPr>
        <w:rPr>
          <w:rFonts w:cs="Times New Roman"/>
          <w:szCs w:val="24"/>
        </w:rPr>
      </w:pPr>
    </w:p>
    <w:p w:rsidR="00304CFC" w:rsidRDefault="00304CFC" w:rsidP="00304CFC">
      <w:pPr>
        <w:rPr>
          <w:rFonts w:cs="Times New Roman"/>
          <w:szCs w:val="24"/>
        </w:rPr>
      </w:pPr>
    </w:p>
    <w:p w:rsidR="00304CFC" w:rsidRDefault="00304CFC" w:rsidP="00304CFC">
      <w:pPr>
        <w:rPr>
          <w:rFonts w:cs="Times New Roman"/>
          <w:szCs w:val="24"/>
        </w:rPr>
      </w:pPr>
    </w:p>
    <w:p w:rsidR="00304CFC" w:rsidRDefault="00304CFC" w:rsidP="00304CFC">
      <w:pPr>
        <w:rPr>
          <w:rFonts w:cs="Times New Roman"/>
          <w:szCs w:val="24"/>
        </w:rPr>
      </w:pPr>
    </w:p>
    <w:p w:rsidR="00304CFC" w:rsidRDefault="00304CFC" w:rsidP="00304CFC">
      <w:pPr>
        <w:rPr>
          <w:rFonts w:cs="Times New Roman"/>
          <w:szCs w:val="24"/>
        </w:rPr>
      </w:pPr>
    </w:p>
    <w:p w:rsidR="00304CFC" w:rsidRDefault="00304CFC" w:rsidP="00304CFC">
      <w:pPr>
        <w:rPr>
          <w:rFonts w:cs="Times New Roman"/>
          <w:szCs w:val="24"/>
        </w:rPr>
      </w:pPr>
    </w:p>
    <w:p w:rsidR="00304CFC" w:rsidRDefault="00304CFC" w:rsidP="00304CFC">
      <w:pPr>
        <w:rPr>
          <w:rFonts w:cs="Times New Roman"/>
          <w:szCs w:val="24"/>
        </w:rPr>
      </w:pPr>
    </w:p>
    <w:p w:rsidR="00304CFC" w:rsidRDefault="00304CFC" w:rsidP="00304CFC">
      <w:pPr>
        <w:rPr>
          <w:rFonts w:cs="Times New Roman"/>
          <w:szCs w:val="24"/>
        </w:rPr>
      </w:pPr>
    </w:p>
    <w:p w:rsidR="00304CFC" w:rsidRDefault="00304CFC" w:rsidP="00304CFC">
      <w:pPr>
        <w:rPr>
          <w:rFonts w:cs="Times New Roman"/>
          <w:szCs w:val="24"/>
        </w:rPr>
      </w:pPr>
    </w:p>
    <w:p w:rsidR="00304CFC" w:rsidRPr="00A94E9B" w:rsidRDefault="00304CFC" w:rsidP="00304CFC">
      <w:pPr>
        <w:autoSpaceDE w:val="0"/>
        <w:autoSpaceDN w:val="0"/>
        <w:adjustRightInd w:val="0"/>
        <w:spacing w:line="480" w:lineRule="auto"/>
        <w:ind w:firstLine="720"/>
        <w:rPr>
          <w:rFonts w:cs="Times New Roman"/>
          <w:szCs w:val="24"/>
        </w:rPr>
      </w:pPr>
      <w:r w:rsidRPr="00A94E9B">
        <w:rPr>
          <w:rFonts w:cs="Times New Roman"/>
          <w:noProof/>
        </w:rPr>
        <w:lastRenderedPageBreak/>
        <w:drawing>
          <wp:inline distT="0" distB="0" distL="0" distR="0" wp14:anchorId="49DC0B6C" wp14:editId="19AF08C0">
            <wp:extent cx="4286250" cy="249555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04CFC" w:rsidRPr="005C2D5F" w:rsidRDefault="00304CFC" w:rsidP="00304CFC">
      <w:pPr>
        <w:autoSpaceDE w:val="0"/>
        <w:autoSpaceDN w:val="0"/>
        <w:adjustRightInd w:val="0"/>
        <w:spacing w:line="480" w:lineRule="auto"/>
        <w:rPr>
          <w:rFonts w:cs="Times New Roman"/>
        </w:rPr>
      </w:pPr>
      <w:r w:rsidRPr="00410DB2">
        <w:rPr>
          <w:rFonts w:cs="Times New Roman"/>
          <w:b/>
        </w:rPr>
        <w:t>Fig 4</w:t>
      </w:r>
      <w:r w:rsidRPr="005C2D5F">
        <w:rPr>
          <w:rFonts w:cs="Times New Roman"/>
        </w:rPr>
        <w:t>. Lead Accumulation for each mangrove species</w:t>
      </w:r>
    </w:p>
    <w:p w:rsidR="00304CFC" w:rsidRDefault="00304CFC" w:rsidP="00304CFC">
      <w:pPr>
        <w:rPr>
          <w:b/>
        </w:rPr>
      </w:pPr>
    </w:p>
    <w:p w:rsidR="00304CFC" w:rsidRDefault="00304CFC" w:rsidP="00304CFC">
      <w:pPr>
        <w:rPr>
          <w:b/>
        </w:rPr>
      </w:pPr>
    </w:p>
    <w:p w:rsidR="00304CFC" w:rsidRPr="00A94E9B" w:rsidRDefault="00304CFC" w:rsidP="00304CFC">
      <w:pPr>
        <w:spacing w:line="480" w:lineRule="auto"/>
        <w:ind w:firstLine="720"/>
        <w:rPr>
          <w:rFonts w:cs="Times New Roman"/>
          <w:szCs w:val="24"/>
        </w:rPr>
      </w:pPr>
      <w:r w:rsidRPr="00A94E9B">
        <w:rPr>
          <w:rFonts w:cs="Times New Roman"/>
          <w:noProof/>
        </w:rPr>
        <w:drawing>
          <wp:inline distT="0" distB="0" distL="0" distR="0" wp14:anchorId="6AEF7168" wp14:editId="7EDEA3CE">
            <wp:extent cx="5611495" cy="2679249"/>
            <wp:effectExtent l="0" t="0" r="0" b="0"/>
            <wp:docPr id="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04CFC" w:rsidRPr="00A94E9B" w:rsidRDefault="00304CFC" w:rsidP="00304CFC">
      <w:pPr>
        <w:spacing w:line="240" w:lineRule="auto"/>
        <w:ind w:left="810" w:hanging="810"/>
        <w:rPr>
          <w:rFonts w:eastAsia="Times New Roman" w:cs="Times New Roman"/>
          <w:i/>
          <w:color w:val="000000"/>
          <w:sz w:val="22"/>
        </w:rPr>
      </w:pPr>
      <w:r w:rsidRPr="00A94E9B">
        <w:rPr>
          <w:rFonts w:cs="Times New Roman"/>
          <w:b/>
        </w:rPr>
        <w:t xml:space="preserve">Note : </w:t>
      </w:r>
      <w:r w:rsidRPr="00A94E9B">
        <w:rPr>
          <w:rFonts w:eastAsia="Times New Roman" w:cs="Times New Roman"/>
          <w:i/>
          <w:color w:val="000000"/>
          <w:sz w:val="22"/>
        </w:rPr>
        <w:t xml:space="preserve">Ra = Rhizophora apiculata, Rm = Rhizophora mucronata, Am = Avicennia marina, Sa = Sonneratia alba, Ac = Aegiceras corniculatum, Bg = Bruguiera gymnorrhiza, Bp = Bruguiera parviflora, Bs = Bruguiera sexangula, sc = Sonneratia caseolaris </w:t>
      </w:r>
    </w:p>
    <w:p w:rsidR="00304CFC" w:rsidRPr="00A94E9B" w:rsidRDefault="00304CFC" w:rsidP="00304CFC">
      <w:pPr>
        <w:ind w:left="810" w:hanging="810"/>
        <w:rPr>
          <w:rFonts w:eastAsia="Times New Roman" w:cs="Times New Roman"/>
          <w:i/>
          <w:color w:val="000000"/>
          <w:sz w:val="22"/>
        </w:rPr>
      </w:pPr>
    </w:p>
    <w:p w:rsidR="00304CFC" w:rsidRPr="00A94E9B" w:rsidRDefault="00304CFC" w:rsidP="00304CFC">
      <w:pPr>
        <w:spacing w:line="480" w:lineRule="auto"/>
        <w:rPr>
          <w:rFonts w:cs="Times New Roman"/>
          <w:szCs w:val="24"/>
        </w:rPr>
      </w:pPr>
      <w:r w:rsidRPr="005732BD">
        <w:rPr>
          <w:rFonts w:cs="Times New Roman"/>
          <w:b/>
          <w:szCs w:val="24"/>
        </w:rPr>
        <w:t>Fig 5</w:t>
      </w:r>
      <w:r w:rsidRPr="00A94E9B">
        <w:rPr>
          <w:rFonts w:cs="Times New Roman"/>
          <w:szCs w:val="24"/>
        </w:rPr>
        <w:t>. The distribution of BAF dan TF for each mangrove species</w:t>
      </w:r>
    </w:p>
    <w:p w:rsidR="00304CFC" w:rsidRDefault="00304CFC">
      <w:pPr>
        <w:spacing w:after="200"/>
        <w:jc w:val="left"/>
      </w:pPr>
      <w:r>
        <w:br w:type="page"/>
      </w:r>
    </w:p>
    <w:p w:rsidR="00304CFC" w:rsidRPr="00304CFC" w:rsidRDefault="00304CFC" w:rsidP="00304CFC">
      <w:pPr>
        <w:rPr>
          <w:b/>
        </w:rPr>
      </w:pPr>
      <w:r w:rsidRPr="00304CFC">
        <w:rPr>
          <w:b/>
        </w:rPr>
        <w:lastRenderedPageBreak/>
        <w:t xml:space="preserve">Suplementary </w:t>
      </w:r>
      <w:r w:rsidRPr="00304CFC">
        <w:rPr>
          <w:b/>
        </w:rPr>
        <w:t>Table of Lead Accumulation</w:t>
      </w:r>
    </w:p>
    <w:p w:rsidR="00304CFC" w:rsidRDefault="00304CFC" w:rsidP="00304CFC"/>
    <w:p w:rsidR="00304CFC" w:rsidRDefault="00304CFC" w:rsidP="00304CFC">
      <w:pPr>
        <w:autoSpaceDE w:val="0"/>
        <w:autoSpaceDN w:val="0"/>
        <w:adjustRightInd w:val="0"/>
        <w:spacing w:line="240" w:lineRule="auto"/>
        <w:rPr>
          <w:rFonts w:cs="Times New Roman"/>
          <w:b/>
          <w:szCs w:val="24"/>
        </w:rPr>
      </w:pPr>
      <w:r w:rsidRPr="00410DB2">
        <w:rPr>
          <w:rFonts w:cs="Times New Roman"/>
          <w:b/>
          <w:szCs w:val="24"/>
        </w:rPr>
        <w:t>Table 1</w:t>
      </w:r>
    </w:p>
    <w:p w:rsidR="00304CFC" w:rsidRDefault="00304CFC" w:rsidP="00304CFC">
      <w:pPr>
        <w:autoSpaceDE w:val="0"/>
        <w:autoSpaceDN w:val="0"/>
        <w:adjustRightInd w:val="0"/>
        <w:spacing w:line="240" w:lineRule="auto"/>
        <w:rPr>
          <w:rFonts w:cs="Times New Roman"/>
          <w:szCs w:val="24"/>
        </w:rPr>
      </w:pPr>
      <w:r w:rsidRPr="00A94E9B">
        <w:rPr>
          <w:rFonts w:cs="Times New Roman"/>
          <w:szCs w:val="24"/>
        </w:rPr>
        <w:t>The vertical structure of l</w:t>
      </w:r>
      <w:r>
        <w:rPr>
          <w:rFonts w:cs="Times New Roman"/>
          <w:szCs w:val="24"/>
        </w:rPr>
        <w:t>ead accumulation in the soil based on deep of soil in SAL</w:t>
      </w:r>
    </w:p>
    <w:p w:rsidR="00304CFC" w:rsidRPr="00A94E9B" w:rsidRDefault="00304CFC" w:rsidP="00304CFC">
      <w:pPr>
        <w:autoSpaceDE w:val="0"/>
        <w:autoSpaceDN w:val="0"/>
        <w:adjustRightInd w:val="0"/>
        <w:spacing w:line="240" w:lineRule="auto"/>
        <w:rPr>
          <w:rFonts w:cs="Times New Roman"/>
          <w:szCs w:val="24"/>
        </w:rPr>
      </w:pP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368"/>
        <w:gridCol w:w="2430"/>
        <w:gridCol w:w="2160"/>
      </w:tblGrid>
      <w:tr w:rsidR="00304CFC" w:rsidRPr="00A94E9B" w:rsidTr="00741D5C">
        <w:tc>
          <w:tcPr>
            <w:tcW w:w="1368" w:type="dxa"/>
          </w:tcPr>
          <w:p w:rsidR="00304CFC" w:rsidRPr="00A94E9B" w:rsidRDefault="00304CFC" w:rsidP="00741D5C">
            <w:pPr>
              <w:rPr>
                <w:rFonts w:cs="Times New Roman"/>
                <w:sz w:val="20"/>
                <w:szCs w:val="20"/>
              </w:rPr>
            </w:pPr>
            <w:r w:rsidRPr="00A94E9B">
              <w:rPr>
                <w:rFonts w:cs="Times New Roman"/>
                <w:sz w:val="20"/>
                <w:szCs w:val="20"/>
              </w:rPr>
              <w:t>Station</w:t>
            </w:r>
          </w:p>
        </w:tc>
        <w:tc>
          <w:tcPr>
            <w:tcW w:w="2430" w:type="dxa"/>
          </w:tcPr>
          <w:p w:rsidR="00304CFC" w:rsidRPr="00A94E9B" w:rsidRDefault="00304CFC" w:rsidP="00741D5C">
            <w:pPr>
              <w:rPr>
                <w:rFonts w:cs="Times New Roman"/>
                <w:sz w:val="20"/>
                <w:szCs w:val="20"/>
              </w:rPr>
            </w:pPr>
            <w:r w:rsidRPr="00A94E9B">
              <w:rPr>
                <w:rFonts w:cs="Times New Roman"/>
                <w:sz w:val="20"/>
                <w:szCs w:val="20"/>
              </w:rPr>
              <w:t xml:space="preserve">Vertical structure </w:t>
            </w:r>
          </w:p>
          <w:p w:rsidR="00304CFC" w:rsidRPr="00A94E9B" w:rsidRDefault="00304CFC" w:rsidP="00741D5C">
            <w:pPr>
              <w:rPr>
                <w:rFonts w:cs="Times New Roman"/>
                <w:sz w:val="20"/>
                <w:szCs w:val="20"/>
              </w:rPr>
            </w:pPr>
            <w:r w:rsidRPr="00A94E9B">
              <w:rPr>
                <w:rFonts w:cs="Times New Roman"/>
                <w:sz w:val="20"/>
                <w:szCs w:val="20"/>
              </w:rPr>
              <w:t>(cm)</w:t>
            </w:r>
          </w:p>
        </w:tc>
        <w:tc>
          <w:tcPr>
            <w:tcW w:w="2160" w:type="dxa"/>
          </w:tcPr>
          <w:p w:rsidR="00304CFC" w:rsidRPr="00A94E9B" w:rsidRDefault="00304CFC" w:rsidP="00741D5C">
            <w:pPr>
              <w:rPr>
                <w:rFonts w:cs="Times New Roman"/>
                <w:sz w:val="20"/>
                <w:szCs w:val="20"/>
              </w:rPr>
            </w:pPr>
            <w:r w:rsidRPr="00A94E9B">
              <w:rPr>
                <w:rFonts w:cs="Times New Roman"/>
                <w:sz w:val="20"/>
                <w:szCs w:val="20"/>
              </w:rPr>
              <w:t>Lead Accumulation of sediment (mg/kg)</w:t>
            </w:r>
          </w:p>
        </w:tc>
      </w:tr>
      <w:tr w:rsidR="00304CFC" w:rsidRPr="00A94E9B" w:rsidTr="00741D5C">
        <w:tc>
          <w:tcPr>
            <w:tcW w:w="1368" w:type="dxa"/>
            <w:vMerge w:val="restart"/>
          </w:tcPr>
          <w:p w:rsidR="00304CFC" w:rsidRPr="00A94E9B" w:rsidRDefault="00304CFC" w:rsidP="00741D5C">
            <w:pPr>
              <w:jc w:val="center"/>
              <w:rPr>
                <w:rFonts w:cs="Times New Roman"/>
                <w:sz w:val="20"/>
                <w:szCs w:val="20"/>
              </w:rPr>
            </w:pPr>
            <w:r w:rsidRPr="00A94E9B">
              <w:rPr>
                <w:rFonts w:cs="Times New Roman"/>
                <w:sz w:val="20"/>
                <w:szCs w:val="20"/>
              </w:rPr>
              <w:t>1</w:t>
            </w: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8.8905</w:t>
            </w:r>
          </w:p>
        </w:tc>
      </w:tr>
      <w:tr w:rsidR="00304CFC" w:rsidRPr="00A94E9B" w:rsidTr="00741D5C">
        <w:tc>
          <w:tcPr>
            <w:tcW w:w="1368" w:type="dxa"/>
            <w:vMerge/>
          </w:tcPr>
          <w:p w:rsidR="00304CFC" w:rsidRPr="00A94E9B" w:rsidRDefault="00304CFC" w:rsidP="00741D5C">
            <w:pPr>
              <w:rPr>
                <w:rFonts w:cs="Times New Roman"/>
                <w:sz w:val="20"/>
                <w:szCs w:val="20"/>
              </w:rPr>
            </w:pP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50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4.7710</w:t>
            </w:r>
          </w:p>
        </w:tc>
      </w:tr>
      <w:tr w:rsidR="00304CFC" w:rsidRPr="00A94E9B" w:rsidTr="00741D5C">
        <w:tc>
          <w:tcPr>
            <w:tcW w:w="1368" w:type="dxa"/>
            <w:vMerge/>
          </w:tcPr>
          <w:p w:rsidR="00304CFC" w:rsidRPr="00A94E9B" w:rsidRDefault="00304CFC" w:rsidP="00741D5C">
            <w:pPr>
              <w:rPr>
                <w:rFonts w:cs="Times New Roman"/>
                <w:sz w:val="20"/>
                <w:szCs w:val="20"/>
              </w:rPr>
            </w:pP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100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2.2172</w:t>
            </w:r>
          </w:p>
        </w:tc>
      </w:tr>
      <w:tr w:rsidR="00304CFC" w:rsidRPr="00A94E9B" w:rsidTr="00741D5C">
        <w:tc>
          <w:tcPr>
            <w:tcW w:w="1368" w:type="dxa"/>
            <w:vMerge/>
          </w:tcPr>
          <w:p w:rsidR="00304CFC" w:rsidRPr="00A94E9B" w:rsidRDefault="00304CFC" w:rsidP="00741D5C">
            <w:pPr>
              <w:rPr>
                <w:rFonts w:cs="Times New Roman"/>
                <w:sz w:val="20"/>
                <w:szCs w:val="20"/>
              </w:rPr>
            </w:pP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150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0.9218</w:t>
            </w:r>
          </w:p>
        </w:tc>
      </w:tr>
      <w:tr w:rsidR="00304CFC" w:rsidRPr="00A94E9B" w:rsidTr="00741D5C">
        <w:tc>
          <w:tcPr>
            <w:tcW w:w="1368" w:type="dxa"/>
            <w:vMerge/>
          </w:tcPr>
          <w:p w:rsidR="00304CFC" w:rsidRPr="00A94E9B" w:rsidRDefault="00304CFC" w:rsidP="00741D5C">
            <w:pPr>
              <w:rPr>
                <w:rFonts w:cs="Times New Roman"/>
                <w:sz w:val="20"/>
                <w:szCs w:val="20"/>
              </w:rPr>
            </w:pP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200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0.7320</w:t>
            </w:r>
          </w:p>
        </w:tc>
      </w:tr>
      <w:tr w:rsidR="00304CFC" w:rsidRPr="00A94E9B" w:rsidTr="00741D5C">
        <w:tc>
          <w:tcPr>
            <w:tcW w:w="1368" w:type="dxa"/>
            <w:vMerge w:val="restart"/>
          </w:tcPr>
          <w:p w:rsidR="00304CFC" w:rsidRPr="00A94E9B" w:rsidRDefault="00304CFC" w:rsidP="00741D5C">
            <w:pPr>
              <w:jc w:val="center"/>
              <w:rPr>
                <w:rFonts w:cs="Times New Roman"/>
                <w:sz w:val="20"/>
                <w:szCs w:val="20"/>
              </w:rPr>
            </w:pPr>
            <w:r w:rsidRPr="00A94E9B">
              <w:rPr>
                <w:rFonts w:cs="Times New Roman"/>
                <w:sz w:val="20"/>
                <w:szCs w:val="20"/>
              </w:rPr>
              <w:t>2</w:t>
            </w: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8.0267</w:t>
            </w:r>
          </w:p>
        </w:tc>
      </w:tr>
      <w:tr w:rsidR="00304CFC" w:rsidRPr="00A94E9B" w:rsidTr="00741D5C">
        <w:tc>
          <w:tcPr>
            <w:tcW w:w="1368" w:type="dxa"/>
            <w:vMerge/>
          </w:tcPr>
          <w:p w:rsidR="00304CFC" w:rsidRPr="00A94E9B" w:rsidRDefault="00304CFC" w:rsidP="00741D5C">
            <w:pPr>
              <w:rPr>
                <w:rFonts w:cs="Times New Roman"/>
                <w:sz w:val="20"/>
                <w:szCs w:val="20"/>
              </w:rPr>
            </w:pP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50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5.2780</w:t>
            </w:r>
          </w:p>
        </w:tc>
      </w:tr>
      <w:tr w:rsidR="00304CFC" w:rsidRPr="00A94E9B" w:rsidTr="00741D5C">
        <w:tc>
          <w:tcPr>
            <w:tcW w:w="1368" w:type="dxa"/>
            <w:vMerge/>
          </w:tcPr>
          <w:p w:rsidR="00304CFC" w:rsidRPr="00A94E9B" w:rsidRDefault="00304CFC" w:rsidP="00741D5C">
            <w:pPr>
              <w:rPr>
                <w:rFonts w:cs="Times New Roman"/>
                <w:sz w:val="20"/>
                <w:szCs w:val="20"/>
              </w:rPr>
            </w:pP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100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2.7326</w:t>
            </w:r>
          </w:p>
        </w:tc>
      </w:tr>
      <w:tr w:rsidR="00304CFC" w:rsidRPr="00A94E9B" w:rsidTr="00741D5C">
        <w:tc>
          <w:tcPr>
            <w:tcW w:w="1368" w:type="dxa"/>
            <w:vMerge/>
          </w:tcPr>
          <w:p w:rsidR="00304CFC" w:rsidRPr="00A94E9B" w:rsidRDefault="00304CFC" w:rsidP="00741D5C">
            <w:pPr>
              <w:rPr>
                <w:rFonts w:cs="Times New Roman"/>
                <w:sz w:val="20"/>
                <w:szCs w:val="20"/>
              </w:rPr>
            </w:pP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150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1.0237</w:t>
            </w:r>
          </w:p>
        </w:tc>
      </w:tr>
      <w:tr w:rsidR="00304CFC" w:rsidRPr="00A94E9B" w:rsidTr="00741D5C">
        <w:tc>
          <w:tcPr>
            <w:tcW w:w="1368" w:type="dxa"/>
            <w:vMerge/>
          </w:tcPr>
          <w:p w:rsidR="00304CFC" w:rsidRPr="00A94E9B" w:rsidRDefault="00304CFC" w:rsidP="00741D5C">
            <w:pPr>
              <w:rPr>
                <w:rFonts w:cs="Times New Roman"/>
                <w:sz w:val="20"/>
                <w:szCs w:val="20"/>
              </w:rPr>
            </w:pP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200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0.7328</w:t>
            </w:r>
          </w:p>
        </w:tc>
      </w:tr>
      <w:tr w:rsidR="00304CFC" w:rsidRPr="00A94E9B" w:rsidTr="00741D5C">
        <w:tc>
          <w:tcPr>
            <w:tcW w:w="1368" w:type="dxa"/>
            <w:vMerge w:val="restart"/>
          </w:tcPr>
          <w:p w:rsidR="00304CFC" w:rsidRPr="00A94E9B" w:rsidRDefault="00304CFC" w:rsidP="00741D5C">
            <w:pPr>
              <w:jc w:val="center"/>
              <w:rPr>
                <w:rFonts w:cs="Times New Roman"/>
                <w:sz w:val="20"/>
                <w:szCs w:val="20"/>
              </w:rPr>
            </w:pPr>
            <w:r w:rsidRPr="00A94E9B">
              <w:rPr>
                <w:rFonts w:cs="Times New Roman"/>
                <w:sz w:val="20"/>
                <w:szCs w:val="20"/>
              </w:rPr>
              <w:t>3</w:t>
            </w: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5.1167</w:t>
            </w:r>
          </w:p>
        </w:tc>
      </w:tr>
      <w:tr w:rsidR="00304CFC" w:rsidRPr="00A94E9B" w:rsidTr="00741D5C">
        <w:tc>
          <w:tcPr>
            <w:tcW w:w="1368" w:type="dxa"/>
            <w:vMerge/>
          </w:tcPr>
          <w:p w:rsidR="00304CFC" w:rsidRPr="00A94E9B" w:rsidRDefault="00304CFC" w:rsidP="00741D5C">
            <w:pPr>
              <w:rPr>
                <w:rFonts w:cs="Times New Roman"/>
                <w:sz w:val="20"/>
                <w:szCs w:val="20"/>
              </w:rPr>
            </w:pP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50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3.9780</w:t>
            </w:r>
          </w:p>
        </w:tc>
      </w:tr>
      <w:tr w:rsidR="00304CFC" w:rsidRPr="00A94E9B" w:rsidTr="00741D5C">
        <w:tc>
          <w:tcPr>
            <w:tcW w:w="1368" w:type="dxa"/>
            <w:vMerge/>
          </w:tcPr>
          <w:p w:rsidR="00304CFC" w:rsidRPr="00A94E9B" w:rsidRDefault="00304CFC" w:rsidP="00741D5C">
            <w:pPr>
              <w:rPr>
                <w:rFonts w:cs="Times New Roman"/>
                <w:sz w:val="20"/>
                <w:szCs w:val="20"/>
              </w:rPr>
            </w:pP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100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2.0755</w:t>
            </w:r>
          </w:p>
        </w:tc>
      </w:tr>
      <w:tr w:rsidR="00304CFC" w:rsidRPr="00A94E9B" w:rsidTr="00741D5C">
        <w:tc>
          <w:tcPr>
            <w:tcW w:w="1368" w:type="dxa"/>
            <w:vMerge/>
          </w:tcPr>
          <w:p w:rsidR="00304CFC" w:rsidRPr="00A94E9B" w:rsidRDefault="00304CFC" w:rsidP="00741D5C">
            <w:pPr>
              <w:rPr>
                <w:rFonts w:cs="Times New Roman"/>
                <w:sz w:val="20"/>
                <w:szCs w:val="20"/>
              </w:rPr>
            </w:pP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150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1.1450</w:t>
            </w:r>
          </w:p>
        </w:tc>
      </w:tr>
      <w:tr w:rsidR="00304CFC" w:rsidRPr="00A94E9B" w:rsidTr="00741D5C">
        <w:tc>
          <w:tcPr>
            <w:tcW w:w="1368" w:type="dxa"/>
            <w:vMerge/>
          </w:tcPr>
          <w:p w:rsidR="00304CFC" w:rsidRPr="00A94E9B" w:rsidRDefault="00304CFC" w:rsidP="00741D5C">
            <w:pPr>
              <w:rPr>
                <w:rFonts w:cs="Times New Roman"/>
                <w:sz w:val="20"/>
                <w:szCs w:val="20"/>
              </w:rPr>
            </w:pP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200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0.7320</w:t>
            </w:r>
          </w:p>
        </w:tc>
      </w:tr>
      <w:tr w:rsidR="00304CFC" w:rsidRPr="00A94E9B" w:rsidTr="00741D5C">
        <w:tc>
          <w:tcPr>
            <w:tcW w:w="1368" w:type="dxa"/>
            <w:vMerge w:val="restart"/>
          </w:tcPr>
          <w:p w:rsidR="00304CFC" w:rsidRPr="00A94E9B" w:rsidRDefault="00304CFC" w:rsidP="00741D5C">
            <w:pPr>
              <w:jc w:val="center"/>
              <w:rPr>
                <w:rFonts w:cs="Times New Roman"/>
                <w:sz w:val="20"/>
                <w:szCs w:val="20"/>
              </w:rPr>
            </w:pPr>
            <w:r w:rsidRPr="00A94E9B">
              <w:rPr>
                <w:rFonts w:cs="Times New Roman"/>
                <w:sz w:val="20"/>
                <w:szCs w:val="20"/>
              </w:rPr>
              <w:t>4</w:t>
            </w: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7.8825</w:t>
            </w:r>
          </w:p>
        </w:tc>
      </w:tr>
      <w:tr w:rsidR="00304CFC" w:rsidRPr="00A94E9B" w:rsidTr="00741D5C">
        <w:tc>
          <w:tcPr>
            <w:tcW w:w="1368" w:type="dxa"/>
            <w:vMerge/>
          </w:tcPr>
          <w:p w:rsidR="00304CFC" w:rsidRPr="00A94E9B" w:rsidRDefault="00304CFC" w:rsidP="00741D5C">
            <w:pPr>
              <w:rPr>
                <w:rFonts w:cs="Times New Roman"/>
                <w:sz w:val="20"/>
                <w:szCs w:val="20"/>
              </w:rPr>
            </w:pP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50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5.3470</w:t>
            </w:r>
          </w:p>
        </w:tc>
      </w:tr>
      <w:tr w:rsidR="00304CFC" w:rsidRPr="00A94E9B" w:rsidTr="00741D5C">
        <w:tc>
          <w:tcPr>
            <w:tcW w:w="1368" w:type="dxa"/>
            <w:vMerge/>
          </w:tcPr>
          <w:p w:rsidR="00304CFC" w:rsidRPr="00A94E9B" w:rsidRDefault="00304CFC" w:rsidP="00741D5C">
            <w:pPr>
              <w:rPr>
                <w:rFonts w:cs="Times New Roman"/>
                <w:sz w:val="20"/>
                <w:szCs w:val="20"/>
              </w:rPr>
            </w:pP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100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3.1256</w:t>
            </w:r>
          </w:p>
        </w:tc>
      </w:tr>
      <w:tr w:rsidR="00304CFC" w:rsidRPr="00A94E9B" w:rsidTr="00741D5C">
        <w:tc>
          <w:tcPr>
            <w:tcW w:w="1368" w:type="dxa"/>
            <w:vMerge/>
          </w:tcPr>
          <w:p w:rsidR="00304CFC" w:rsidRPr="00A94E9B" w:rsidRDefault="00304CFC" w:rsidP="00741D5C">
            <w:pPr>
              <w:rPr>
                <w:rFonts w:cs="Times New Roman"/>
                <w:sz w:val="20"/>
                <w:szCs w:val="20"/>
              </w:rPr>
            </w:pP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150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0.9870</w:t>
            </w:r>
          </w:p>
        </w:tc>
      </w:tr>
      <w:tr w:rsidR="00304CFC" w:rsidRPr="00A94E9B" w:rsidTr="00741D5C">
        <w:tc>
          <w:tcPr>
            <w:tcW w:w="1368" w:type="dxa"/>
            <w:vMerge/>
          </w:tcPr>
          <w:p w:rsidR="00304CFC" w:rsidRPr="00A94E9B" w:rsidRDefault="00304CFC" w:rsidP="00741D5C">
            <w:pPr>
              <w:rPr>
                <w:rFonts w:cs="Times New Roman"/>
                <w:sz w:val="20"/>
                <w:szCs w:val="20"/>
              </w:rPr>
            </w:pPr>
          </w:p>
        </w:tc>
        <w:tc>
          <w:tcPr>
            <w:tcW w:w="2430" w:type="dxa"/>
          </w:tcPr>
          <w:p w:rsidR="00304CFC" w:rsidRPr="00A94E9B" w:rsidRDefault="00304CFC" w:rsidP="00741D5C">
            <w:pPr>
              <w:jc w:val="center"/>
              <w:rPr>
                <w:rFonts w:cs="Times New Roman"/>
                <w:sz w:val="20"/>
                <w:szCs w:val="20"/>
              </w:rPr>
            </w:pPr>
            <w:r w:rsidRPr="00A94E9B">
              <w:rPr>
                <w:rFonts w:cs="Times New Roman"/>
                <w:sz w:val="20"/>
                <w:szCs w:val="20"/>
              </w:rPr>
              <w:t>200</w:t>
            </w:r>
          </w:p>
        </w:tc>
        <w:tc>
          <w:tcPr>
            <w:tcW w:w="2160" w:type="dxa"/>
          </w:tcPr>
          <w:p w:rsidR="00304CFC" w:rsidRPr="00A94E9B" w:rsidRDefault="00304CFC" w:rsidP="00741D5C">
            <w:pPr>
              <w:jc w:val="center"/>
              <w:rPr>
                <w:rFonts w:cs="Times New Roman"/>
                <w:sz w:val="20"/>
                <w:szCs w:val="20"/>
              </w:rPr>
            </w:pPr>
            <w:r w:rsidRPr="00A94E9B">
              <w:rPr>
                <w:rFonts w:cs="Times New Roman"/>
                <w:sz w:val="20"/>
                <w:szCs w:val="20"/>
              </w:rPr>
              <w:t>0.5614</w:t>
            </w:r>
          </w:p>
        </w:tc>
      </w:tr>
    </w:tbl>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Pr>
        <w:autoSpaceDE w:val="0"/>
        <w:autoSpaceDN w:val="0"/>
        <w:adjustRightInd w:val="0"/>
        <w:spacing w:line="240" w:lineRule="auto"/>
        <w:rPr>
          <w:rFonts w:cs="Times New Roman"/>
        </w:rPr>
      </w:pPr>
      <w:r w:rsidRPr="005732BD">
        <w:rPr>
          <w:rFonts w:cs="Times New Roman"/>
          <w:b/>
        </w:rPr>
        <w:lastRenderedPageBreak/>
        <w:t>Table 2.</w:t>
      </w:r>
    </w:p>
    <w:p w:rsidR="00304CFC" w:rsidRPr="00A94E9B" w:rsidRDefault="00304CFC" w:rsidP="00304CFC">
      <w:pPr>
        <w:autoSpaceDE w:val="0"/>
        <w:autoSpaceDN w:val="0"/>
        <w:adjustRightInd w:val="0"/>
        <w:spacing w:line="480" w:lineRule="auto"/>
        <w:rPr>
          <w:rFonts w:cs="Times New Roman"/>
        </w:rPr>
      </w:pPr>
      <w:r w:rsidRPr="00A94E9B">
        <w:rPr>
          <w:rFonts w:cs="Times New Roman"/>
        </w:rPr>
        <w:t>Leaf morphometric of mangrove vegetation in lead pollution area</w:t>
      </w:r>
    </w:p>
    <w:tbl>
      <w:tblPr>
        <w:tblW w:w="8488" w:type="dxa"/>
        <w:tblInd w:w="93" w:type="dxa"/>
        <w:tblBorders>
          <w:top w:val="single" w:sz="4" w:space="0" w:color="auto"/>
          <w:bottom w:val="single" w:sz="4" w:space="0" w:color="auto"/>
          <w:insideH w:val="single" w:sz="4" w:space="0" w:color="auto"/>
        </w:tblBorders>
        <w:tblLook w:val="04A0" w:firstRow="1" w:lastRow="0" w:firstColumn="1" w:lastColumn="0" w:noHBand="0" w:noVBand="1"/>
      </w:tblPr>
      <w:tblGrid>
        <w:gridCol w:w="960"/>
        <w:gridCol w:w="3735"/>
        <w:gridCol w:w="1176"/>
        <w:gridCol w:w="672"/>
        <w:gridCol w:w="851"/>
        <w:gridCol w:w="1094"/>
      </w:tblGrid>
      <w:tr w:rsidR="00304CFC" w:rsidRPr="00A94E9B" w:rsidTr="00741D5C">
        <w:trPr>
          <w:trHeight w:val="270"/>
        </w:trPr>
        <w:tc>
          <w:tcPr>
            <w:tcW w:w="960" w:type="dxa"/>
            <w:vMerge w:val="restart"/>
            <w:shd w:val="clear" w:color="auto" w:fill="auto"/>
            <w:noWrap/>
            <w:vAlign w:val="center"/>
            <w:hideMark/>
          </w:tcPr>
          <w:p w:rsidR="00304CFC" w:rsidRPr="00A94E9B" w:rsidRDefault="00304CFC" w:rsidP="00741D5C">
            <w:pPr>
              <w:spacing w:line="240" w:lineRule="auto"/>
              <w:jc w:val="center"/>
              <w:rPr>
                <w:rFonts w:eastAsia="Times New Roman" w:cs="Times New Roman"/>
                <w:sz w:val="20"/>
                <w:szCs w:val="20"/>
              </w:rPr>
            </w:pPr>
            <w:r w:rsidRPr="00A94E9B">
              <w:rPr>
                <w:rFonts w:eastAsia="Times New Roman" w:cs="Times New Roman"/>
                <w:sz w:val="20"/>
                <w:szCs w:val="20"/>
              </w:rPr>
              <w:t>Station</w:t>
            </w:r>
          </w:p>
        </w:tc>
        <w:tc>
          <w:tcPr>
            <w:tcW w:w="3735" w:type="dxa"/>
            <w:vMerge w:val="restart"/>
            <w:shd w:val="clear" w:color="auto" w:fill="auto"/>
            <w:noWrap/>
            <w:vAlign w:val="center"/>
            <w:hideMark/>
          </w:tcPr>
          <w:p w:rsidR="00304CFC" w:rsidRPr="00A94E9B" w:rsidRDefault="00304CFC" w:rsidP="00741D5C">
            <w:pPr>
              <w:spacing w:line="240" w:lineRule="auto"/>
              <w:jc w:val="center"/>
              <w:rPr>
                <w:rFonts w:eastAsia="Times New Roman" w:cs="Times New Roman"/>
                <w:sz w:val="20"/>
                <w:szCs w:val="20"/>
              </w:rPr>
            </w:pPr>
            <w:r w:rsidRPr="00A94E9B">
              <w:rPr>
                <w:rFonts w:eastAsia="Times New Roman" w:cs="Times New Roman"/>
                <w:sz w:val="20"/>
                <w:szCs w:val="20"/>
              </w:rPr>
              <w:t>Species</w:t>
            </w:r>
          </w:p>
        </w:tc>
        <w:tc>
          <w:tcPr>
            <w:tcW w:w="3793" w:type="dxa"/>
            <w:gridSpan w:val="4"/>
            <w:shd w:val="clear" w:color="auto" w:fill="auto"/>
            <w:noWrap/>
            <w:vAlign w:val="center"/>
            <w:hideMark/>
          </w:tcPr>
          <w:p w:rsidR="00304CFC" w:rsidRPr="00A94E9B" w:rsidRDefault="00304CFC" w:rsidP="00741D5C">
            <w:pPr>
              <w:spacing w:line="240" w:lineRule="auto"/>
              <w:jc w:val="center"/>
              <w:rPr>
                <w:rFonts w:eastAsia="Times New Roman" w:cs="Times New Roman"/>
                <w:sz w:val="20"/>
                <w:szCs w:val="20"/>
              </w:rPr>
            </w:pPr>
            <w:r w:rsidRPr="00A94E9B">
              <w:rPr>
                <w:rFonts w:eastAsia="Times New Roman" w:cs="Times New Roman"/>
                <w:sz w:val="20"/>
                <w:szCs w:val="20"/>
              </w:rPr>
              <w:t>Leaf Morphometric</w:t>
            </w:r>
          </w:p>
        </w:tc>
      </w:tr>
      <w:tr w:rsidR="00304CFC" w:rsidRPr="00A94E9B" w:rsidTr="00741D5C">
        <w:trPr>
          <w:trHeight w:val="270"/>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1176" w:type="dxa"/>
            <w:shd w:val="clear" w:color="auto" w:fill="auto"/>
            <w:noWrap/>
            <w:vAlign w:val="center"/>
            <w:hideMark/>
          </w:tcPr>
          <w:p w:rsidR="00304CFC" w:rsidRPr="00A94E9B" w:rsidRDefault="00304CFC" w:rsidP="00741D5C">
            <w:pPr>
              <w:spacing w:line="240" w:lineRule="auto"/>
              <w:jc w:val="left"/>
              <w:rPr>
                <w:rFonts w:eastAsia="Times New Roman" w:cs="Times New Roman"/>
                <w:sz w:val="20"/>
                <w:szCs w:val="20"/>
              </w:rPr>
            </w:pPr>
            <w:r w:rsidRPr="00A94E9B">
              <w:rPr>
                <w:rFonts w:eastAsia="Times New Roman" w:cs="Times New Roman"/>
                <w:sz w:val="20"/>
                <w:szCs w:val="20"/>
              </w:rPr>
              <w:t>Length</w:t>
            </w:r>
          </w:p>
        </w:tc>
        <w:tc>
          <w:tcPr>
            <w:tcW w:w="672" w:type="dxa"/>
            <w:shd w:val="clear" w:color="auto" w:fill="auto"/>
            <w:noWrap/>
            <w:vAlign w:val="center"/>
            <w:hideMark/>
          </w:tcPr>
          <w:p w:rsidR="00304CFC" w:rsidRPr="00A94E9B" w:rsidRDefault="00304CFC" w:rsidP="00741D5C">
            <w:pPr>
              <w:spacing w:line="240" w:lineRule="auto"/>
              <w:jc w:val="left"/>
              <w:rPr>
                <w:rFonts w:eastAsia="Times New Roman" w:cs="Times New Roman"/>
                <w:sz w:val="20"/>
                <w:szCs w:val="20"/>
              </w:rPr>
            </w:pPr>
            <w:r w:rsidRPr="00A94E9B">
              <w:rPr>
                <w:rFonts w:eastAsia="Times New Roman" w:cs="Times New Roman"/>
                <w:sz w:val="20"/>
                <w:szCs w:val="20"/>
              </w:rPr>
              <w:t>width</w:t>
            </w:r>
          </w:p>
        </w:tc>
        <w:tc>
          <w:tcPr>
            <w:tcW w:w="851" w:type="dxa"/>
            <w:shd w:val="clear" w:color="auto" w:fill="auto"/>
            <w:noWrap/>
            <w:vAlign w:val="center"/>
            <w:hideMark/>
          </w:tcPr>
          <w:p w:rsidR="00304CFC" w:rsidRPr="00A94E9B" w:rsidRDefault="00304CFC" w:rsidP="00741D5C">
            <w:pPr>
              <w:spacing w:line="240" w:lineRule="auto"/>
              <w:jc w:val="left"/>
              <w:rPr>
                <w:rFonts w:eastAsia="Times New Roman" w:cs="Times New Roman"/>
                <w:sz w:val="20"/>
                <w:szCs w:val="20"/>
              </w:rPr>
            </w:pPr>
            <w:r w:rsidRPr="00A94E9B">
              <w:rPr>
                <w:rFonts w:eastAsia="Times New Roman" w:cs="Times New Roman"/>
                <w:sz w:val="20"/>
                <w:szCs w:val="20"/>
              </w:rPr>
              <w:t>Thick</w:t>
            </w:r>
          </w:p>
        </w:tc>
        <w:tc>
          <w:tcPr>
            <w:tcW w:w="1094" w:type="dxa"/>
            <w:shd w:val="clear" w:color="auto" w:fill="auto"/>
            <w:noWrap/>
            <w:vAlign w:val="center"/>
            <w:hideMark/>
          </w:tcPr>
          <w:p w:rsidR="00304CFC" w:rsidRPr="00A94E9B" w:rsidRDefault="00304CFC" w:rsidP="00741D5C">
            <w:pPr>
              <w:spacing w:line="240" w:lineRule="auto"/>
              <w:jc w:val="left"/>
              <w:rPr>
                <w:rFonts w:eastAsia="Times New Roman" w:cs="Times New Roman"/>
                <w:sz w:val="20"/>
                <w:szCs w:val="20"/>
              </w:rPr>
            </w:pPr>
            <w:r w:rsidRPr="00A94E9B">
              <w:rPr>
                <w:rFonts w:eastAsia="Times New Roman" w:cs="Times New Roman"/>
                <w:sz w:val="20"/>
                <w:szCs w:val="20"/>
              </w:rPr>
              <w:t>Percentage of damage</w:t>
            </w:r>
          </w:p>
        </w:tc>
      </w:tr>
      <w:tr w:rsidR="00304CFC" w:rsidRPr="00A94E9B" w:rsidTr="00741D5C">
        <w:trPr>
          <w:trHeight w:val="270"/>
        </w:trPr>
        <w:tc>
          <w:tcPr>
            <w:tcW w:w="960" w:type="dxa"/>
            <w:vMerge w:val="restart"/>
            <w:shd w:val="clear" w:color="auto" w:fill="auto"/>
            <w:noWrap/>
            <w:vAlign w:val="center"/>
            <w:hideMark/>
          </w:tcPr>
          <w:p w:rsidR="00304CFC" w:rsidRPr="00A94E9B" w:rsidRDefault="00304CFC" w:rsidP="00741D5C">
            <w:pPr>
              <w:spacing w:line="240" w:lineRule="auto"/>
              <w:jc w:val="center"/>
              <w:rPr>
                <w:rFonts w:eastAsia="Times New Roman" w:cs="Times New Roman"/>
                <w:sz w:val="20"/>
                <w:szCs w:val="20"/>
              </w:rPr>
            </w:pPr>
            <w:r w:rsidRPr="00A94E9B">
              <w:rPr>
                <w:rFonts w:eastAsia="Times New Roman" w:cs="Times New Roman"/>
                <w:sz w:val="20"/>
                <w:szCs w:val="20"/>
              </w:rPr>
              <w:t>1</w:t>
            </w: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Aegiceras corniculatum</w:t>
            </w:r>
            <w:r w:rsidRPr="00A94E9B">
              <w:rPr>
                <w:rFonts w:eastAsia="Times New Roman" w:cs="Times New Roman"/>
                <w:sz w:val="20"/>
                <w:szCs w:val="20"/>
              </w:rPr>
              <w:t xml:space="preserve"> (AC)</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5.9</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4.2</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0.67</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55%</w:t>
            </w:r>
          </w:p>
        </w:tc>
      </w:tr>
      <w:tr w:rsidR="00304CFC" w:rsidRPr="00A94E9B" w:rsidTr="00741D5C">
        <w:trPr>
          <w:trHeight w:val="255"/>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 xml:space="preserve">Bruguiera gymnorrhiza </w:t>
            </w:r>
            <w:r w:rsidRPr="00A94E9B">
              <w:rPr>
                <w:rFonts w:eastAsia="Times New Roman" w:cs="Times New Roman"/>
                <w:sz w:val="20"/>
                <w:szCs w:val="20"/>
              </w:rPr>
              <w:t>(BG)</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14.1</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5.5</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1.34</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10%</w:t>
            </w:r>
          </w:p>
        </w:tc>
      </w:tr>
      <w:tr w:rsidR="00304CFC" w:rsidRPr="00A94E9B" w:rsidTr="00741D5C">
        <w:trPr>
          <w:trHeight w:val="255"/>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Rhizophora apiculata</w:t>
            </w:r>
            <w:r w:rsidRPr="00A94E9B">
              <w:rPr>
                <w:rFonts w:eastAsia="Times New Roman" w:cs="Times New Roman"/>
                <w:sz w:val="20"/>
                <w:szCs w:val="20"/>
              </w:rPr>
              <w:t xml:space="preserve"> (RA)</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10.1</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4.3</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0.23</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40%</w:t>
            </w:r>
          </w:p>
        </w:tc>
      </w:tr>
      <w:tr w:rsidR="00304CFC" w:rsidRPr="00A94E9B" w:rsidTr="00741D5C">
        <w:trPr>
          <w:trHeight w:val="255"/>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Sonneratia caseolaris</w:t>
            </w:r>
            <w:r w:rsidRPr="00A94E9B">
              <w:rPr>
                <w:rFonts w:eastAsia="Times New Roman" w:cs="Times New Roman"/>
                <w:sz w:val="20"/>
                <w:szCs w:val="20"/>
              </w:rPr>
              <w:t xml:space="preserve"> (SC)</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7.6</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5.4</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0.48</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30%</w:t>
            </w:r>
          </w:p>
        </w:tc>
      </w:tr>
      <w:tr w:rsidR="00304CFC" w:rsidRPr="00A94E9B" w:rsidTr="00741D5C">
        <w:trPr>
          <w:trHeight w:val="255"/>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Avicennia marina</w:t>
            </w:r>
            <w:r w:rsidRPr="00A94E9B">
              <w:rPr>
                <w:rFonts w:eastAsia="Times New Roman" w:cs="Times New Roman"/>
                <w:sz w:val="20"/>
                <w:szCs w:val="20"/>
              </w:rPr>
              <w:t xml:space="preserve"> (AM)</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8.4</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3.3</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0.30</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60%</w:t>
            </w:r>
          </w:p>
        </w:tc>
      </w:tr>
      <w:tr w:rsidR="00304CFC" w:rsidRPr="00A94E9B" w:rsidTr="00741D5C">
        <w:trPr>
          <w:trHeight w:val="270"/>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Rhizophora mucronata</w:t>
            </w:r>
            <w:r w:rsidRPr="00A94E9B">
              <w:rPr>
                <w:rFonts w:eastAsia="Times New Roman" w:cs="Times New Roman"/>
                <w:sz w:val="20"/>
                <w:szCs w:val="20"/>
              </w:rPr>
              <w:t xml:space="preserve"> (RM)</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10.5</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5.0</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0.11</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45%</w:t>
            </w:r>
          </w:p>
        </w:tc>
      </w:tr>
      <w:tr w:rsidR="00304CFC" w:rsidRPr="00A94E9B" w:rsidTr="00741D5C">
        <w:trPr>
          <w:trHeight w:val="270"/>
        </w:trPr>
        <w:tc>
          <w:tcPr>
            <w:tcW w:w="960" w:type="dxa"/>
            <w:vMerge w:val="restart"/>
            <w:shd w:val="clear" w:color="auto" w:fill="auto"/>
            <w:noWrap/>
            <w:vAlign w:val="center"/>
            <w:hideMark/>
          </w:tcPr>
          <w:p w:rsidR="00304CFC" w:rsidRPr="00A94E9B" w:rsidRDefault="00304CFC" w:rsidP="00741D5C">
            <w:pPr>
              <w:spacing w:line="240" w:lineRule="auto"/>
              <w:jc w:val="center"/>
              <w:rPr>
                <w:rFonts w:eastAsia="Times New Roman" w:cs="Times New Roman"/>
                <w:sz w:val="20"/>
                <w:szCs w:val="20"/>
              </w:rPr>
            </w:pPr>
            <w:r w:rsidRPr="00A94E9B">
              <w:rPr>
                <w:rFonts w:eastAsia="Times New Roman" w:cs="Times New Roman"/>
                <w:sz w:val="20"/>
                <w:szCs w:val="20"/>
              </w:rPr>
              <w:t>2</w:t>
            </w: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Aegiceras corniculatum</w:t>
            </w:r>
            <w:r w:rsidRPr="00A94E9B">
              <w:rPr>
                <w:rFonts w:eastAsia="Times New Roman" w:cs="Times New Roman"/>
                <w:sz w:val="20"/>
                <w:szCs w:val="20"/>
              </w:rPr>
              <w:t xml:space="preserve"> (AC)</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7.8</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5.0</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0.81</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25%</w:t>
            </w:r>
          </w:p>
        </w:tc>
      </w:tr>
      <w:tr w:rsidR="00304CFC" w:rsidRPr="00A94E9B" w:rsidTr="00741D5C">
        <w:trPr>
          <w:trHeight w:val="255"/>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Rhizophora apiculata</w:t>
            </w:r>
            <w:r w:rsidRPr="00A94E9B">
              <w:rPr>
                <w:rFonts w:eastAsia="Times New Roman" w:cs="Times New Roman"/>
                <w:sz w:val="20"/>
                <w:szCs w:val="20"/>
              </w:rPr>
              <w:t xml:space="preserve"> (RA)</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12.7</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3.7</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1.19</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35%</w:t>
            </w:r>
          </w:p>
        </w:tc>
      </w:tr>
      <w:tr w:rsidR="00304CFC" w:rsidRPr="00A94E9B" w:rsidTr="00741D5C">
        <w:trPr>
          <w:trHeight w:val="255"/>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Avicennia marina</w:t>
            </w:r>
            <w:r w:rsidRPr="00A94E9B">
              <w:rPr>
                <w:rFonts w:eastAsia="Times New Roman" w:cs="Times New Roman"/>
                <w:sz w:val="20"/>
                <w:szCs w:val="20"/>
              </w:rPr>
              <w:t xml:space="preserve"> (AM)</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8.6</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3.4</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0.35</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55%</w:t>
            </w:r>
          </w:p>
        </w:tc>
      </w:tr>
      <w:tr w:rsidR="00304CFC" w:rsidRPr="00A94E9B" w:rsidTr="00741D5C">
        <w:trPr>
          <w:trHeight w:val="255"/>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Sonneratia caseolaris</w:t>
            </w:r>
            <w:r w:rsidRPr="00A94E9B">
              <w:rPr>
                <w:rFonts w:eastAsia="Times New Roman" w:cs="Times New Roman"/>
                <w:sz w:val="20"/>
                <w:szCs w:val="20"/>
              </w:rPr>
              <w:t xml:space="preserve"> (SC)</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6.6</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5.2</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1.00</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20%</w:t>
            </w:r>
          </w:p>
        </w:tc>
      </w:tr>
      <w:tr w:rsidR="00304CFC" w:rsidRPr="00A94E9B" w:rsidTr="00741D5C">
        <w:trPr>
          <w:trHeight w:val="270"/>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Rhizophora mucronata</w:t>
            </w:r>
            <w:r w:rsidRPr="00A94E9B">
              <w:rPr>
                <w:rFonts w:eastAsia="Times New Roman" w:cs="Times New Roman"/>
                <w:sz w:val="20"/>
                <w:szCs w:val="20"/>
              </w:rPr>
              <w:t xml:space="preserve"> (RM)</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9.6</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4.5</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0.65</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30%</w:t>
            </w:r>
          </w:p>
        </w:tc>
      </w:tr>
      <w:tr w:rsidR="00304CFC" w:rsidRPr="00A94E9B" w:rsidTr="00741D5C">
        <w:trPr>
          <w:trHeight w:val="270"/>
        </w:trPr>
        <w:tc>
          <w:tcPr>
            <w:tcW w:w="960" w:type="dxa"/>
            <w:vMerge w:val="restart"/>
            <w:shd w:val="clear" w:color="auto" w:fill="auto"/>
            <w:noWrap/>
            <w:vAlign w:val="center"/>
            <w:hideMark/>
          </w:tcPr>
          <w:p w:rsidR="00304CFC" w:rsidRPr="00A94E9B" w:rsidRDefault="00304CFC" w:rsidP="00741D5C">
            <w:pPr>
              <w:spacing w:line="240" w:lineRule="auto"/>
              <w:jc w:val="center"/>
              <w:rPr>
                <w:rFonts w:eastAsia="Times New Roman" w:cs="Times New Roman"/>
                <w:sz w:val="20"/>
                <w:szCs w:val="20"/>
              </w:rPr>
            </w:pPr>
            <w:r w:rsidRPr="00A94E9B">
              <w:rPr>
                <w:rFonts w:eastAsia="Times New Roman" w:cs="Times New Roman"/>
                <w:sz w:val="20"/>
                <w:szCs w:val="20"/>
              </w:rPr>
              <w:t>3</w:t>
            </w: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Bruguiera sexangula</w:t>
            </w:r>
            <w:r w:rsidRPr="00A94E9B">
              <w:rPr>
                <w:rFonts w:eastAsia="Times New Roman" w:cs="Times New Roman"/>
                <w:sz w:val="20"/>
                <w:szCs w:val="20"/>
              </w:rPr>
              <w:t xml:space="preserve"> (BS)</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14.1</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6.3</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0.90</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 20%</w:t>
            </w:r>
          </w:p>
        </w:tc>
      </w:tr>
      <w:tr w:rsidR="00304CFC" w:rsidRPr="00A94E9B" w:rsidTr="00741D5C">
        <w:trPr>
          <w:trHeight w:val="255"/>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Sonneratia alba</w:t>
            </w:r>
            <w:r w:rsidRPr="00A94E9B">
              <w:rPr>
                <w:rFonts w:eastAsia="Times New Roman" w:cs="Times New Roman"/>
                <w:sz w:val="20"/>
                <w:szCs w:val="20"/>
              </w:rPr>
              <w:t xml:space="preserve"> (SA)</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6.4</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4.8</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1.16</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 15%</w:t>
            </w:r>
          </w:p>
        </w:tc>
      </w:tr>
      <w:tr w:rsidR="00304CFC" w:rsidRPr="00A94E9B" w:rsidTr="00741D5C">
        <w:trPr>
          <w:trHeight w:val="255"/>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Avicennia marina</w:t>
            </w:r>
            <w:r w:rsidRPr="00A94E9B">
              <w:rPr>
                <w:rFonts w:eastAsia="Times New Roman" w:cs="Times New Roman"/>
                <w:sz w:val="20"/>
                <w:szCs w:val="20"/>
              </w:rPr>
              <w:t xml:space="preserve"> (AM)</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8.7</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3.5</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0.79</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40%</w:t>
            </w:r>
          </w:p>
        </w:tc>
      </w:tr>
      <w:tr w:rsidR="00304CFC" w:rsidRPr="00A94E9B" w:rsidTr="00741D5C">
        <w:trPr>
          <w:trHeight w:val="255"/>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Bruguiera parviflora</w:t>
            </w:r>
            <w:r w:rsidRPr="00A94E9B">
              <w:rPr>
                <w:rFonts w:eastAsia="Times New Roman" w:cs="Times New Roman"/>
                <w:sz w:val="20"/>
                <w:szCs w:val="20"/>
              </w:rPr>
              <w:t xml:space="preserve"> (BP)</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8.3</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3.8</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1.36</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15%</w:t>
            </w:r>
          </w:p>
        </w:tc>
      </w:tr>
      <w:tr w:rsidR="00304CFC" w:rsidRPr="00A94E9B" w:rsidTr="00741D5C">
        <w:trPr>
          <w:trHeight w:val="255"/>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Aegiceras corniculatum</w:t>
            </w:r>
            <w:r w:rsidRPr="00A94E9B">
              <w:rPr>
                <w:rFonts w:eastAsia="Times New Roman" w:cs="Times New Roman"/>
                <w:sz w:val="20"/>
                <w:szCs w:val="20"/>
              </w:rPr>
              <w:t xml:space="preserve"> (AC)</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11.5</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4.0</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1.39</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 15%</w:t>
            </w:r>
          </w:p>
        </w:tc>
      </w:tr>
      <w:tr w:rsidR="00304CFC" w:rsidRPr="00A94E9B" w:rsidTr="00741D5C">
        <w:trPr>
          <w:trHeight w:val="255"/>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Rhizophora apiculata</w:t>
            </w:r>
            <w:r w:rsidRPr="00A94E9B">
              <w:rPr>
                <w:rFonts w:eastAsia="Times New Roman" w:cs="Times New Roman"/>
                <w:sz w:val="20"/>
                <w:szCs w:val="20"/>
              </w:rPr>
              <w:t xml:space="preserve"> (RA)</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13.0</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4.5</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1.35</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10%</w:t>
            </w:r>
          </w:p>
        </w:tc>
      </w:tr>
      <w:tr w:rsidR="00304CFC" w:rsidRPr="00A94E9B" w:rsidTr="00741D5C">
        <w:trPr>
          <w:trHeight w:val="270"/>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Rhizophora mucronata</w:t>
            </w:r>
            <w:r w:rsidRPr="00A94E9B">
              <w:rPr>
                <w:rFonts w:eastAsia="Times New Roman" w:cs="Times New Roman"/>
                <w:sz w:val="20"/>
                <w:szCs w:val="20"/>
              </w:rPr>
              <w:t xml:space="preserve"> (RM)</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14.2</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7.8</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0.75</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2%</w:t>
            </w:r>
          </w:p>
        </w:tc>
      </w:tr>
      <w:tr w:rsidR="00304CFC" w:rsidRPr="00A94E9B" w:rsidTr="00741D5C">
        <w:trPr>
          <w:trHeight w:val="270"/>
        </w:trPr>
        <w:tc>
          <w:tcPr>
            <w:tcW w:w="960" w:type="dxa"/>
            <w:vMerge w:val="restart"/>
            <w:shd w:val="clear" w:color="auto" w:fill="auto"/>
            <w:noWrap/>
            <w:vAlign w:val="center"/>
            <w:hideMark/>
          </w:tcPr>
          <w:p w:rsidR="00304CFC" w:rsidRPr="00A94E9B" w:rsidRDefault="00304CFC" w:rsidP="00741D5C">
            <w:pPr>
              <w:spacing w:line="240" w:lineRule="auto"/>
              <w:jc w:val="center"/>
              <w:rPr>
                <w:rFonts w:eastAsia="Times New Roman" w:cs="Times New Roman"/>
                <w:sz w:val="20"/>
                <w:szCs w:val="20"/>
              </w:rPr>
            </w:pPr>
            <w:r w:rsidRPr="00A94E9B">
              <w:rPr>
                <w:rFonts w:eastAsia="Times New Roman" w:cs="Times New Roman"/>
                <w:sz w:val="20"/>
                <w:szCs w:val="20"/>
              </w:rPr>
              <w:t>4</w:t>
            </w: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Sonneratia alba</w:t>
            </w:r>
            <w:r w:rsidRPr="00A94E9B">
              <w:rPr>
                <w:rFonts w:eastAsia="Times New Roman" w:cs="Times New Roman"/>
                <w:sz w:val="20"/>
                <w:szCs w:val="20"/>
              </w:rPr>
              <w:t xml:space="preserve"> (SA)</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6.5</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4.4</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0.72</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5%</w:t>
            </w:r>
          </w:p>
        </w:tc>
      </w:tr>
      <w:tr w:rsidR="00304CFC" w:rsidRPr="00A94E9B" w:rsidTr="00741D5C">
        <w:trPr>
          <w:trHeight w:val="255"/>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Rhizophora apiculata</w:t>
            </w:r>
            <w:r w:rsidRPr="00A94E9B">
              <w:rPr>
                <w:rFonts w:eastAsia="Times New Roman" w:cs="Times New Roman"/>
                <w:sz w:val="20"/>
                <w:szCs w:val="20"/>
              </w:rPr>
              <w:t xml:space="preserve"> (RA) </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11.7</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4.0</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1.35</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2%</w:t>
            </w:r>
          </w:p>
        </w:tc>
      </w:tr>
      <w:tr w:rsidR="00304CFC" w:rsidRPr="00A94E9B" w:rsidTr="00741D5C">
        <w:trPr>
          <w:trHeight w:val="255"/>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Rhizophora apiculata</w:t>
            </w:r>
            <w:r w:rsidRPr="00A94E9B">
              <w:rPr>
                <w:rFonts w:eastAsia="Times New Roman" w:cs="Times New Roman"/>
                <w:sz w:val="20"/>
                <w:szCs w:val="20"/>
              </w:rPr>
              <w:t xml:space="preserve"> (RA) </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12.0</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4.3</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1.01</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2%</w:t>
            </w:r>
          </w:p>
        </w:tc>
      </w:tr>
      <w:tr w:rsidR="00304CFC" w:rsidRPr="00A94E9B" w:rsidTr="00741D5C">
        <w:trPr>
          <w:trHeight w:val="255"/>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Rhizophora apiculata</w:t>
            </w:r>
            <w:r w:rsidRPr="00A94E9B">
              <w:rPr>
                <w:rFonts w:eastAsia="Times New Roman" w:cs="Times New Roman"/>
                <w:sz w:val="20"/>
                <w:szCs w:val="20"/>
              </w:rPr>
              <w:t xml:space="preserve"> (RA) </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12.3</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3.8</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1.14</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2%</w:t>
            </w:r>
          </w:p>
        </w:tc>
      </w:tr>
      <w:tr w:rsidR="00304CFC" w:rsidRPr="00A94E9B" w:rsidTr="00741D5C">
        <w:trPr>
          <w:trHeight w:val="255"/>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Rhizophora mucronata</w:t>
            </w:r>
            <w:r w:rsidRPr="00A94E9B">
              <w:rPr>
                <w:rFonts w:eastAsia="Times New Roman" w:cs="Times New Roman"/>
                <w:sz w:val="20"/>
                <w:szCs w:val="20"/>
              </w:rPr>
              <w:t xml:space="preserve"> (RM)</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9.9</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3.5</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0.92</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20%</w:t>
            </w:r>
          </w:p>
        </w:tc>
      </w:tr>
      <w:tr w:rsidR="00304CFC" w:rsidRPr="00A94E9B" w:rsidTr="00741D5C">
        <w:trPr>
          <w:trHeight w:val="255"/>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Acrosticum</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8.8</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1.5</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0.24</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15%</w:t>
            </w:r>
          </w:p>
        </w:tc>
      </w:tr>
      <w:tr w:rsidR="00304CFC" w:rsidRPr="00A94E9B" w:rsidTr="00741D5C">
        <w:trPr>
          <w:trHeight w:val="270"/>
        </w:trPr>
        <w:tc>
          <w:tcPr>
            <w:tcW w:w="960" w:type="dxa"/>
            <w:vMerge/>
            <w:vAlign w:val="center"/>
            <w:hideMark/>
          </w:tcPr>
          <w:p w:rsidR="00304CFC" w:rsidRPr="00A94E9B" w:rsidRDefault="00304CFC" w:rsidP="00741D5C">
            <w:pPr>
              <w:spacing w:line="240" w:lineRule="auto"/>
              <w:jc w:val="left"/>
              <w:rPr>
                <w:rFonts w:eastAsia="Times New Roman" w:cs="Times New Roman"/>
                <w:sz w:val="20"/>
                <w:szCs w:val="20"/>
              </w:rPr>
            </w:pPr>
          </w:p>
        </w:tc>
        <w:tc>
          <w:tcPr>
            <w:tcW w:w="3735" w:type="dxa"/>
            <w:shd w:val="clear" w:color="auto" w:fill="auto"/>
            <w:noWrap/>
            <w:vAlign w:val="center"/>
            <w:hideMark/>
          </w:tcPr>
          <w:p w:rsidR="00304CFC" w:rsidRPr="00A94E9B" w:rsidRDefault="00304CFC" w:rsidP="00741D5C">
            <w:pPr>
              <w:spacing w:line="240" w:lineRule="auto"/>
              <w:jc w:val="left"/>
              <w:rPr>
                <w:rFonts w:eastAsia="Times New Roman" w:cs="Times New Roman"/>
                <w:i/>
                <w:iCs/>
                <w:sz w:val="20"/>
                <w:szCs w:val="20"/>
              </w:rPr>
            </w:pPr>
            <w:r w:rsidRPr="00A94E9B">
              <w:rPr>
                <w:rFonts w:eastAsia="Times New Roman" w:cs="Times New Roman"/>
                <w:i/>
                <w:iCs/>
                <w:sz w:val="20"/>
                <w:szCs w:val="20"/>
              </w:rPr>
              <w:t>Avicennia marina</w:t>
            </w:r>
            <w:r w:rsidRPr="00A94E9B">
              <w:rPr>
                <w:rFonts w:eastAsia="Times New Roman" w:cs="Times New Roman"/>
                <w:sz w:val="20"/>
                <w:szCs w:val="20"/>
              </w:rPr>
              <w:t xml:space="preserve"> (AM)</w:t>
            </w:r>
          </w:p>
        </w:tc>
        <w:tc>
          <w:tcPr>
            <w:tcW w:w="1176"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9.0</w:t>
            </w:r>
          </w:p>
        </w:tc>
        <w:tc>
          <w:tcPr>
            <w:tcW w:w="672"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3.5</w:t>
            </w:r>
          </w:p>
        </w:tc>
        <w:tc>
          <w:tcPr>
            <w:tcW w:w="851"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0.70</w:t>
            </w:r>
          </w:p>
        </w:tc>
        <w:tc>
          <w:tcPr>
            <w:tcW w:w="1094" w:type="dxa"/>
            <w:shd w:val="clear" w:color="auto" w:fill="auto"/>
            <w:noWrap/>
            <w:vAlign w:val="center"/>
            <w:hideMark/>
          </w:tcPr>
          <w:p w:rsidR="00304CFC" w:rsidRPr="00A94E9B" w:rsidRDefault="00304CFC" w:rsidP="00741D5C">
            <w:pPr>
              <w:spacing w:line="240" w:lineRule="auto"/>
              <w:jc w:val="right"/>
              <w:rPr>
                <w:rFonts w:eastAsia="Times New Roman" w:cs="Times New Roman"/>
                <w:sz w:val="20"/>
                <w:szCs w:val="20"/>
              </w:rPr>
            </w:pPr>
            <w:r w:rsidRPr="00A94E9B">
              <w:rPr>
                <w:rFonts w:eastAsia="Times New Roman" w:cs="Times New Roman"/>
                <w:sz w:val="20"/>
                <w:szCs w:val="20"/>
              </w:rPr>
              <w:t>15%</w:t>
            </w:r>
          </w:p>
        </w:tc>
      </w:tr>
    </w:tbl>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 w:rsidR="00304CFC" w:rsidRDefault="00304CFC" w:rsidP="00304CFC">
      <w:pPr>
        <w:autoSpaceDE w:val="0"/>
        <w:autoSpaceDN w:val="0"/>
        <w:adjustRightInd w:val="0"/>
        <w:spacing w:line="240" w:lineRule="auto"/>
        <w:rPr>
          <w:rFonts w:cs="Times New Roman"/>
          <w:szCs w:val="24"/>
        </w:rPr>
      </w:pPr>
      <w:r w:rsidRPr="005732BD">
        <w:rPr>
          <w:rFonts w:cs="Times New Roman"/>
          <w:b/>
          <w:szCs w:val="24"/>
        </w:rPr>
        <w:lastRenderedPageBreak/>
        <w:t>Table 3</w:t>
      </w:r>
      <w:r w:rsidRPr="00A94E9B">
        <w:rPr>
          <w:rFonts w:cs="Times New Roman"/>
          <w:szCs w:val="24"/>
        </w:rPr>
        <w:t xml:space="preserve">. </w:t>
      </w:r>
    </w:p>
    <w:p w:rsidR="00304CFC" w:rsidRPr="00A94E9B" w:rsidRDefault="00304CFC" w:rsidP="00304CFC">
      <w:pPr>
        <w:autoSpaceDE w:val="0"/>
        <w:autoSpaceDN w:val="0"/>
        <w:adjustRightInd w:val="0"/>
        <w:spacing w:line="480" w:lineRule="auto"/>
        <w:rPr>
          <w:rFonts w:cs="Times New Roman"/>
          <w:szCs w:val="24"/>
        </w:rPr>
      </w:pPr>
      <w:r>
        <w:rPr>
          <w:rFonts w:cs="Times New Roman"/>
          <w:szCs w:val="24"/>
        </w:rPr>
        <w:t xml:space="preserve">Lead accumulation in mangrove zone in SAL </w:t>
      </w:r>
    </w:p>
    <w:tbl>
      <w:tblPr>
        <w:tblW w:w="5941" w:type="dxa"/>
        <w:jc w:val="center"/>
        <w:tblInd w:w="93" w:type="dxa"/>
        <w:tblLook w:val="04A0" w:firstRow="1" w:lastRow="0" w:firstColumn="1" w:lastColumn="0" w:noHBand="0" w:noVBand="1"/>
      </w:tblPr>
      <w:tblGrid>
        <w:gridCol w:w="632"/>
        <w:gridCol w:w="2500"/>
        <w:gridCol w:w="921"/>
        <w:gridCol w:w="1039"/>
        <w:gridCol w:w="921"/>
      </w:tblGrid>
      <w:tr w:rsidR="00304CFC" w:rsidRPr="00A94E9B" w:rsidTr="00741D5C">
        <w:trPr>
          <w:trHeight w:val="300"/>
          <w:jc w:val="center"/>
        </w:trPr>
        <w:tc>
          <w:tcPr>
            <w:tcW w:w="560" w:type="dxa"/>
            <w:vMerge w:val="restart"/>
            <w:tcBorders>
              <w:top w:val="single" w:sz="4" w:space="0" w:color="auto"/>
              <w:bottom w:val="single" w:sz="4" w:space="0" w:color="auto"/>
            </w:tcBorders>
            <w:shd w:val="clear" w:color="auto" w:fill="auto"/>
            <w:noWrap/>
            <w:vAlign w:val="bottom"/>
            <w:hideMark/>
          </w:tcPr>
          <w:p w:rsidR="00304CFC" w:rsidRPr="00A94E9B" w:rsidRDefault="00304CFC" w:rsidP="00741D5C">
            <w:pPr>
              <w:spacing w:line="240" w:lineRule="auto"/>
              <w:jc w:val="center"/>
              <w:rPr>
                <w:rFonts w:eastAsia="Times New Roman" w:cs="Times New Roman"/>
                <w:color w:val="000000"/>
              </w:rPr>
            </w:pPr>
            <w:r w:rsidRPr="00A94E9B">
              <w:rPr>
                <w:rFonts w:eastAsia="Times New Roman" w:cs="Times New Roman"/>
                <w:color w:val="000000"/>
                <w:sz w:val="22"/>
              </w:rPr>
              <w:t>zone</w:t>
            </w:r>
          </w:p>
        </w:tc>
        <w:tc>
          <w:tcPr>
            <w:tcW w:w="2500" w:type="dxa"/>
            <w:vMerge w:val="restart"/>
            <w:tcBorders>
              <w:top w:val="single" w:sz="4" w:space="0" w:color="auto"/>
              <w:bottom w:val="single" w:sz="4" w:space="0" w:color="auto"/>
            </w:tcBorders>
            <w:shd w:val="clear" w:color="auto" w:fill="auto"/>
            <w:noWrap/>
            <w:vAlign w:val="bottom"/>
            <w:hideMark/>
          </w:tcPr>
          <w:p w:rsidR="00304CFC" w:rsidRPr="00A94E9B" w:rsidRDefault="00304CFC" w:rsidP="00741D5C">
            <w:pPr>
              <w:spacing w:line="240" w:lineRule="auto"/>
              <w:jc w:val="center"/>
              <w:rPr>
                <w:rFonts w:eastAsia="Times New Roman" w:cs="Times New Roman"/>
                <w:color w:val="000000"/>
              </w:rPr>
            </w:pPr>
            <w:r w:rsidRPr="00A94E9B">
              <w:rPr>
                <w:rFonts w:eastAsia="Times New Roman" w:cs="Times New Roman"/>
                <w:color w:val="000000"/>
                <w:sz w:val="22"/>
              </w:rPr>
              <w:t>Species</w:t>
            </w:r>
          </w:p>
        </w:tc>
        <w:tc>
          <w:tcPr>
            <w:tcW w:w="2881" w:type="dxa"/>
            <w:gridSpan w:val="3"/>
            <w:tcBorders>
              <w:top w:val="single" w:sz="4" w:space="0" w:color="auto"/>
              <w:bottom w:val="single" w:sz="4" w:space="0" w:color="auto"/>
            </w:tcBorders>
            <w:shd w:val="clear" w:color="auto" w:fill="auto"/>
            <w:noWrap/>
            <w:vAlign w:val="bottom"/>
            <w:hideMark/>
          </w:tcPr>
          <w:p w:rsidR="00304CFC" w:rsidRPr="00A94E9B" w:rsidRDefault="00304CFC" w:rsidP="00741D5C">
            <w:pPr>
              <w:spacing w:line="240" w:lineRule="auto"/>
              <w:jc w:val="center"/>
              <w:rPr>
                <w:rFonts w:eastAsia="Times New Roman" w:cs="Times New Roman"/>
                <w:color w:val="000000"/>
              </w:rPr>
            </w:pPr>
            <w:r w:rsidRPr="00A94E9B">
              <w:rPr>
                <w:rFonts w:eastAsia="Times New Roman" w:cs="Times New Roman"/>
                <w:color w:val="000000"/>
                <w:sz w:val="22"/>
              </w:rPr>
              <w:t>Lead Accumulation</w:t>
            </w:r>
          </w:p>
        </w:tc>
      </w:tr>
      <w:tr w:rsidR="00304CFC" w:rsidRPr="00A94E9B" w:rsidTr="00741D5C">
        <w:trPr>
          <w:trHeight w:val="300"/>
          <w:jc w:val="center"/>
        </w:trPr>
        <w:tc>
          <w:tcPr>
            <w:tcW w:w="560" w:type="dxa"/>
            <w:vMerge/>
            <w:tcBorders>
              <w:top w:val="single" w:sz="4" w:space="0" w:color="auto"/>
              <w:bottom w:val="single" w:sz="4" w:space="0" w:color="auto"/>
            </w:tcBorders>
            <w:vAlign w:val="center"/>
            <w:hideMark/>
          </w:tcPr>
          <w:p w:rsidR="00304CFC" w:rsidRPr="00A94E9B" w:rsidRDefault="00304CFC" w:rsidP="00741D5C">
            <w:pPr>
              <w:spacing w:line="240" w:lineRule="auto"/>
              <w:jc w:val="left"/>
              <w:rPr>
                <w:rFonts w:eastAsia="Times New Roman" w:cs="Times New Roman"/>
                <w:color w:val="000000"/>
              </w:rPr>
            </w:pPr>
          </w:p>
        </w:tc>
        <w:tc>
          <w:tcPr>
            <w:tcW w:w="2500" w:type="dxa"/>
            <w:vMerge/>
            <w:tcBorders>
              <w:top w:val="single" w:sz="4" w:space="0" w:color="auto"/>
              <w:bottom w:val="single" w:sz="4" w:space="0" w:color="auto"/>
            </w:tcBorders>
            <w:vAlign w:val="center"/>
            <w:hideMark/>
          </w:tcPr>
          <w:p w:rsidR="00304CFC" w:rsidRPr="00A94E9B" w:rsidRDefault="00304CFC" w:rsidP="00741D5C">
            <w:pPr>
              <w:spacing w:line="240" w:lineRule="auto"/>
              <w:jc w:val="left"/>
              <w:rPr>
                <w:rFonts w:eastAsia="Times New Roman" w:cs="Times New Roman"/>
                <w:color w:val="000000"/>
              </w:rPr>
            </w:pP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left"/>
              <w:rPr>
                <w:rFonts w:eastAsia="Times New Roman" w:cs="Times New Roman"/>
                <w:color w:val="000000"/>
              </w:rPr>
            </w:pPr>
            <w:r w:rsidRPr="00A94E9B">
              <w:rPr>
                <w:rFonts w:eastAsia="Times New Roman" w:cs="Times New Roman"/>
                <w:color w:val="000000"/>
                <w:sz w:val="22"/>
              </w:rPr>
              <w:t>root</w:t>
            </w:r>
          </w:p>
        </w:tc>
        <w:tc>
          <w:tcPr>
            <w:tcW w:w="1039"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left"/>
              <w:rPr>
                <w:rFonts w:eastAsia="Times New Roman" w:cs="Times New Roman"/>
                <w:color w:val="000000"/>
              </w:rPr>
            </w:pPr>
            <w:r w:rsidRPr="00A94E9B">
              <w:rPr>
                <w:rFonts w:eastAsia="Times New Roman" w:cs="Times New Roman"/>
                <w:color w:val="000000"/>
                <w:sz w:val="22"/>
              </w:rPr>
              <w:t>stem</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left"/>
              <w:rPr>
                <w:rFonts w:eastAsia="Times New Roman" w:cs="Times New Roman"/>
                <w:color w:val="000000"/>
              </w:rPr>
            </w:pPr>
            <w:r w:rsidRPr="00A94E9B">
              <w:rPr>
                <w:rFonts w:eastAsia="Times New Roman" w:cs="Times New Roman"/>
                <w:color w:val="000000"/>
                <w:sz w:val="22"/>
              </w:rPr>
              <w:t>leaf</w:t>
            </w:r>
          </w:p>
        </w:tc>
      </w:tr>
      <w:tr w:rsidR="00304CFC" w:rsidRPr="00A94E9B" w:rsidTr="00741D5C">
        <w:trPr>
          <w:trHeight w:val="300"/>
          <w:jc w:val="center"/>
        </w:trPr>
        <w:tc>
          <w:tcPr>
            <w:tcW w:w="560" w:type="dxa"/>
            <w:vMerge w:val="restart"/>
            <w:tcBorders>
              <w:top w:val="nil"/>
              <w:bottom w:val="single" w:sz="4" w:space="0" w:color="auto"/>
            </w:tcBorders>
            <w:shd w:val="clear" w:color="auto" w:fill="auto"/>
            <w:noWrap/>
            <w:hideMark/>
          </w:tcPr>
          <w:p w:rsidR="00304CFC" w:rsidRPr="00A94E9B" w:rsidRDefault="00304CFC" w:rsidP="00741D5C">
            <w:pPr>
              <w:spacing w:line="240" w:lineRule="auto"/>
              <w:jc w:val="center"/>
              <w:rPr>
                <w:rFonts w:eastAsia="Times New Roman" w:cs="Times New Roman"/>
                <w:color w:val="000000"/>
              </w:rPr>
            </w:pPr>
            <w:r w:rsidRPr="00A94E9B">
              <w:rPr>
                <w:rFonts w:eastAsia="Times New Roman" w:cs="Times New Roman"/>
                <w:color w:val="000000"/>
                <w:sz w:val="22"/>
              </w:rPr>
              <w:t>3</w:t>
            </w:r>
          </w:p>
        </w:tc>
        <w:tc>
          <w:tcPr>
            <w:tcW w:w="2500" w:type="dxa"/>
            <w:tcBorders>
              <w:top w:val="nil"/>
              <w:bottom w:val="single" w:sz="4" w:space="0" w:color="auto"/>
            </w:tcBorders>
            <w:shd w:val="clear" w:color="auto" w:fill="auto"/>
            <w:vAlign w:val="center"/>
            <w:hideMark/>
          </w:tcPr>
          <w:p w:rsidR="00304CFC" w:rsidRPr="00A94E9B" w:rsidRDefault="00304CFC" w:rsidP="00741D5C">
            <w:pPr>
              <w:spacing w:line="240" w:lineRule="auto"/>
              <w:jc w:val="left"/>
              <w:rPr>
                <w:rFonts w:eastAsia="Times New Roman" w:cs="Times New Roman"/>
                <w:i/>
                <w:iCs/>
                <w:color w:val="000000"/>
                <w:sz w:val="20"/>
                <w:szCs w:val="20"/>
              </w:rPr>
            </w:pPr>
            <w:r w:rsidRPr="00A94E9B">
              <w:rPr>
                <w:rFonts w:eastAsia="Times New Roman" w:cs="Times New Roman"/>
                <w:i/>
                <w:iCs/>
                <w:color w:val="000000"/>
                <w:sz w:val="20"/>
                <w:szCs w:val="20"/>
              </w:rPr>
              <w:t>Acrosticum aureum</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left"/>
              <w:rPr>
                <w:rFonts w:eastAsia="Times New Roman" w:cs="Times New Roman"/>
                <w:color w:val="000000"/>
              </w:rPr>
            </w:pPr>
            <w:r w:rsidRPr="00A94E9B">
              <w:rPr>
                <w:rFonts w:eastAsia="Times New Roman" w:cs="Times New Roman"/>
                <w:color w:val="000000"/>
                <w:sz w:val="22"/>
              </w:rPr>
              <w:t> </w:t>
            </w:r>
          </w:p>
        </w:tc>
        <w:tc>
          <w:tcPr>
            <w:tcW w:w="1039"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1.24</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left"/>
              <w:rPr>
                <w:rFonts w:eastAsia="Times New Roman" w:cs="Times New Roman"/>
                <w:color w:val="000000"/>
              </w:rPr>
            </w:pPr>
            <w:r w:rsidRPr="00A94E9B">
              <w:rPr>
                <w:rFonts w:eastAsia="Times New Roman" w:cs="Times New Roman"/>
                <w:color w:val="000000"/>
                <w:sz w:val="22"/>
              </w:rPr>
              <w:t> </w:t>
            </w:r>
          </w:p>
        </w:tc>
      </w:tr>
      <w:tr w:rsidR="00304CFC" w:rsidRPr="00A94E9B" w:rsidTr="00741D5C">
        <w:trPr>
          <w:trHeight w:val="300"/>
          <w:jc w:val="center"/>
        </w:trPr>
        <w:tc>
          <w:tcPr>
            <w:tcW w:w="560" w:type="dxa"/>
            <w:vMerge/>
            <w:tcBorders>
              <w:top w:val="nil"/>
              <w:bottom w:val="single" w:sz="4" w:space="0" w:color="auto"/>
            </w:tcBorders>
            <w:vAlign w:val="center"/>
            <w:hideMark/>
          </w:tcPr>
          <w:p w:rsidR="00304CFC" w:rsidRPr="00A94E9B" w:rsidRDefault="00304CFC" w:rsidP="00741D5C">
            <w:pPr>
              <w:spacing w:line="240" w:lineRule="auto"/>
              <w:jc w:val="left"/>
              <w:rPr>
                <w:rFonts w:eastAsia="Times New Roman" w:cs="Times New Roman"/>
                <w:color w:val="000000"/>
              </w:rPr>
            </w:pPr>
          </w:p>
        </w:tc>
        <w:tc>
          <w:tcPr>
            <w:tcW w:w="2500" w:type="dxa"/>
            <w:tcBorders>
              <w:top w:val="nil"/>
              <w:bottom w:val="single" w:sz="4" w:space="0" w:color="auto"/>
            </w:tcBorders>
            <w:shd w:val="clear" w:color="auto" w:fill="auto"/>
            <w:vAlign w:val="center"/>
            <w:hideMark/>
          </w:tcPr>
          <w:p w:rsidR="00304CFC" w:rsidRPr="00A94E9B" w:rsidRDefault="00304CFC" w:rsidP="00741D5C">
            <w:pPr>
              <w:spacing w:line="240" w:lineRule="auto"/>
              <w:jc w:val="left"/>
              <w:rPr>
                <w:rFonts w:eastAsia="Times New Roman" w:cs="Times New Roman"/>
                <w:i/>
                <w:iCs/>
                <w:color w:val="000000"/>
                <w:sz w:val="20"/>
                <w:szCs w:val="20"/>
              </w:rPr>
            </w:pPr>
            <w:r w:rsidRPr="00A94E9B">
              <w:rPr>
                <w:rFonts w:eastAsia="Times New Roman" w:cs="Times New Roman"/>
                <w:i/>
                <w:iCs/>
                <w:color w:val="000000"/>
                <w:sz w:val="20"/>
                <w:szCs w:val="20"/>
              </w:rPr>
              <w:t>Avicennia marina</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5.38</w:t>
            </w:r>
          </w:p>
        </w:tc>
        <w:tc>
          <w:tcPr>
            <w:tcW w:w="1039"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3.33</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1.95</w:t>
            </w:r>
          </w:p>
        </w:tc>
      </w:tr>
      <w:tr w:rsidR="00304CFC" w:rsidRPr="00A94E9B" w:rsidTr="00741D5C">
        <w:trPr>
          <w:trHeight w:val="300"/>
          <w:jc w:val="center"/>
        </w:trPr>
        <w:tc>
          <w:tcPr>
            <w:tcW w:w="560" w:type="dxa"/>
            <w:vMerge/>
            <w:tcBorders>
              <w:top w:val="nil"/>
              <w:bottom w:val="single" w:sz="4" w:space="0" w:color="auto"/>
            </w:tcBorders>
            <w:vAlign w:val="center"/>
            <w:hideMark/>
          </w:tcPr>
          <w:p w:rsidR="00304CFC" w:rsidRPr="00A94E9B" w:rsidRDefault="00304CFC" w:rsidP="00741D5C">
            <w:pPr>
              <w:spacing w:line="240" w:lineRule="auto"/>
              <w:jc w:val="left"/>
              <w:rPr>
                <w:rFonts w:eastAsia="Times New Roman" w:cs="Times New Roman"/>
                <w:color w:val="000000"/>
              </w:rPr>
            </w:pPr>
          </w:p>
        </w:tc>
        <w:tc>
          <w:tcPr>
            <w:tcW w:w="2500" w:type="dxa"/>
            <w:tcBorders>
              <w:top w:val="nil"/>
              <w:bottom w:val="single" w:sz="4" w:space="0" w:color="auto"/>
            </w:tcBorders>
            <w:shd w:val="clear" w:color="auto" w:fill="auto"/>
            <w:vAlign w:val="center"/>
            <w:hideMark/>
          </w:tcPr>
          <w:p w:rsidR="00304CFC" w:rsidRPr="00A94E9B" w:rsidRDefault="00304CFC" w:rsidP="00741D5C">
            <w:pPr>
              <w:spacing w:line="240" w:lineRule="auto"/>
              <w:jc w:val="left"/>
              <w:rPr>
                <w:rFonts w:eastAsia="Times New Roman" w:cs="Times New Roman"/>
                <w:i/>
                <w:iCs/>
                <w:color w:val="000000"/>
                <w:sz w:val="20"/>
                <w:szCs w:val="20"/>
              </w:rPr>
            </w:pPr>
            <w:r w:rsidRPr="00A94E9B">
              <w:rPr>
                <w:rFonts w:eastAsia="Times New Roman" w:cs="Times New Roman"/>
                <w:i/>
                <w:iCs/>
                <w:color w:val="000000"/>
                <w:sz w:val="20"/>
                <w:szCs w:val="20"/>
              </w:rPr>
              <w:t>Bruguiera parviflora</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5.55</w:t>
            </w:r>
          </w:p>
        </w:tc>
        <w:tc>
          <w:tcPr>
            <w:tcW w:w="1039"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3.59</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2.55</w:t>
            </w:r>
          </w:p>
        </w:tc>
      </w:tr>
      <w:tr w:rsidR="00304CFC" w:rsidRPr="00A94E9B" w:rsidTr="00741D5C">
        <w:trPr>
          <w:trHeight w:val="300"/>
          <w:jc w:val="center"/>
        </w:trPr>
        <w:tc>
          <w:tcPr>
            <w:tcW w:w="560" w:type="dxa"/>
            <w:vMerge/>
            <w:tcBorders>
              <w:top w:val="nil"/>
              <w:bottom w:val="single" w:sz="4" w:space="0" w:color="auto"/>
            </w:tcBorders>
            <w:vAlign w:val="center"/>
            <w:hideMark/>
          </w:tcPr>
          <w:p w:rsidR="00304CFC" w:rsidRPr="00A94E9B" w:rsidRDefault="00304CFC" w:rsidP="00741D5C">
            <w:pPr>
              <w:spacing w:line="240" w:lineRule="auto"/>
              <w:jc w:val="left"/>
              <w:rPr>
                <w:rFonts w:eastAsia="Times New Roman" w:cs="Times New Roman"/>
                <w:color w:val="000000"/>
              </w:rPr>
            </w:pPr>
          </w:p>
        </w:tc>
        <w:tc>
          <w:tcPr>
            <w:tcW w:w="2500" w:type="dxa"/>
            <w:tcBorders>
              <w:top w:val="nil"/>
              <w:bottom w:val="single" w:sz="4" w:space="0" w:color="auto"/>
            </w:tcBorders>
            <w:shd w:val="clear" w:color="auto" w:fill="auto"/>
            <w:vAlign w:val="center"/>
            <w:hideMark/>
          </w:tcPr>
          <w:p w:rsidR="00304CFC" w:rsidRPr="00A94E9B" w:rsidRDefault="00304CFC" w:rsidP="00741D5C">
            <w:pPr>
              <w:spacing w:line="240" w:lineRule="auto"/>
              <w:jc w:val="left"/>
              <w:rPr>
                <w:rFonts w:eastAsia="Times New Roman" w:cs="Times New Roman"/>
                <w:i/>
                <w:iCs/>
                <w:color w:val="000000"/>
                <w:sz w:val="20"/>
                <w:szCs w:val="20"/>
              </w:rPr>
            </w:pPr>
            <w:r w:rsidRPr="00A94E9B">
              <w:rPr>
                <w:rFonts w:eastAsia="Times New Roman" w:cs="Times New Roman"/>
                <w:i/>
                <w:iCs/>
                <w:color w:val="000000"/>
                <w:sz w:val="20"/>
                <w:szCs w:val="20"/>
              </w:rPr>
              <w:t>Rhizophora mucronata</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5.84</w:t>
            </w:r>
          </w:p>
        </w:tc>
        <w:tc>
          <w:tcPr>
            <w:tcW w:w="1039"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3.64</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1.20</w:t>
            </w:r>
          </w:p>
        </w:tc>
      </w:tr>
      <w:tr w:rsidR="00304CFC" w:rsidRPr="00A94E9B" w:rsidTr="00741D5C">
        <w:trPr>
          <w:trHeight w:val="300"/>
          <w:jc w:val="center"/>
        </w:trPr>
        <w:tc>
          <w:tcPr>
            <w:tcW w:w="560" w:type="dxa"/>
            <w:vMerge w:val="restart"/>
            <w:tcBorders>
              <w:top w:val="nil"/>
              <w:bottom w:val="single" w:sz="4" w:space="0" w:color="auto"/>
            </w:tcBorders>
            <w:shd w:val="clear" w:color="auto" w:fill="auto"/>
            <w:noWrap/>
            <w:hideMark/>
          </w:tcPr>
          <w:p w:rsidR="00304CFC" w:rsidRPr="00A94E9B" w:rsidRDefault="00304CFC" w:rsidP="00741D5C">
            <w:pPr>
              <w:spacing w:line="240" w:lineRule="auto"/>
              <w:jc w:val="center"/>
              <w:rPr>
                <w:rFonts w:eastAsia="Times New Roman" w:cs="Times New Roman"/>
                <w:color w:val="000000"/>
              </w:rPr>
            </w:pPr>
            <w:r w:rsidRPr="00A94E9B">
              <w:rPr>
                <w:rFonts w:eastAsia="Times New Roman" w:cs="Times New Roman"/>
                <w:color w:val="000000"/>
                <w:sz w:val="22"/>
              </w:rPr>
              <w:t>2</w:t>
            </w:r>
          </w:p>
        </w:tc>
        <w:tc>
          <w:tcPr>
            <w:tcW w:w="2500" w:type="dxa"/>
            <w:tcBorders>
              <w:top w:val="nil"/>
              <w:bottom w:val="single" w:sz="4" w:space="0" w:color="auto"/>
            </w:tcBorders>
            <w:shd w:val="clear" w:color="auto" w:fill="auto"/>
            <w:vAlign w:val="center"/>
            <w:hideMark/>
          </w:tcPr>
          <w:p w:rsidR="00304CFC" w:rsidRPr="00A94E9B" w:rsidRDefault="00304CFC" w:rsidP="00741D5C">
            <w:pPr>
              <w:spacing w:line="240" w:lineRule="auto"/>
              <w:jc w:val="left"/>
              <w:rPr>
                <w:rFonts w:eastAsia="Times New Roman" w:cs="Times New Roman"/>
                <w:i/>
                <w:iCs/>
                <w:color w:val="000000"/>
                <w:sz w:val="20"/>
                <w:szCs w:val="20"/>
              </w:rPr>
            </w:pPr>
            <w:r w:rsidRPr="00A94E9B">
              <w:rPr>
                <w:rFonts w:eastAsia="Times New Roman" w:cs="Times New Roman"/>
                <w:i/>
                <w:iCs/>
                <w:color w:val="000000"/>
                <w:sz w:val="20"/>
                <w:szCs w:val="20"/>
              </w:rPr>
              <w:t>Sonneratia alba</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6.20</w:t>
            </w:r>
          </w:p>
        </w:tc>
        <w:tc>
          <w:tcPr>
            <w:tcW w:w="1039"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4.32</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2.19</w:t>
            </w:r>
          </w:p>
        </w:tc>
      </w:tr>
      <w:tr w:rsidR="00304CFC" w:rsidRPr="00A94E9B" w:rsidTr="00741D5C">
        <w:trPr>
          <w:trHeight w:val="300"/>
          <w:jc w:val="center"/>
        </w:trPr>
        <w:tc>
          <w:tcPr>
            <w:tcW w:w="560" w:type="dxa"/>
            <w:vMerge/>
            <w:tcBorders>
              <w:top w:val="nil"/>
              <w:bottom w:val="single" w:sz="4" w:space="0" w:color="auto"/>
            </w:tcBorders>
            <w:vAlign w:val="center"/>
            <w:hideMark/>
          </w:tcPr>
          <w:p w:rsidR="00304CFC" w:rsidRPr="00A94E9B" w:rsidRDefault="00304CFC" w:rsidP="00741D5C">
            <w:pPr>
              <w:spacing w:line="240" w:lineRule="auto"/>
              <w:jc w:val="left"/>
              <w:rPr>
                <w:rFonts w:eastAsia="Times New Roman" w:cs="Times New Roman"/>
                <w:color w:val="000000"/>
              </w:rPr>
            </w:pPr>
          </w:p>
        </w:tc>
        <w:tc>
          <w:tcPr>
            <w:tcW w:w="2500" w:type="dxa"/>
            <w:tcBorders>
              <w:top w:val="nil"/>
              <w:bottom w:val="single" w:sz="4" w:space="0" w:color="auto"/>
            </w:tcBorders>
            <w:shd w:val="clear" w:color="auto" w:fill="auto"/>
            <w:vAlign w:val="center"/>
            <w:hideMark/>
          </w:tcPr>
          <w:p w:rsidR="00304CFC" w:rsidRPr="00A94E9B" w:rsidRDefault="00304CFC" w:rsidP="00741D5C">
            <w:pPr>
              <w:spacing w:line="240" w:lineRule="auto"/>
              <w:jc w:val="left"/>
              <w:rPr>
                <w:rFonts w:eastAsia="Times New Roman" w:cs="Times New Roman"/>
                <w:i/>
                <w:iCs/>
                <w:color w:val="000000"/>
                <w:sz w:val="20"/>
                <w:szCs w:val="20"/>
              </w:rPr>
            </w:pPr>
            <w:r w:rsidRPr="00A94E9B">
              <w:rPr>
                <w:rFonts w:eastAsia="Times New Roman" w:cs="Times New Roman"/>
                <w:i/>
                <w:iCs/>
                <w:color w:val="000000"/>
                <w:sz w:val="20"/>
                <w:szCs w:val="20"/>
              </w:rPr>
              <w:t>Bruguiera gymnorrhiza</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6.42</w:t>
            </w:r>
          </w:p>
        </w:tc>
        <w:tc>
          <w:tcPr>
            <w:tcW w:w="1039"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5.12</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3.63</w:t>
            </w:r>
          </w:p>
        </w:tc>
      </w:tr>
      <w:tr w:rsidR="00304CFC" w:rsidRPr="00A94E9B" w:rsidTr="00741D5C">
        <w:trPr>
          <w:trHeight w:val="300"/>
          <w:jc w:val="center"/>
        </w:trPr>
        <w:tc>
          <w:tcPr>
            <w:tcW w:w="560" w:type="dxa"/>
            <w:vMerge/>
            <w:tcBorders>
              <w:top w:val="nil"/>
              <w:bottom w:val="single" w:sz="4" w:space="0" w:color="auto"/>
            </w:tcBorders>
            <w:vAlign w:val="center"/>
            <w:hideMark/>
          </w:tcPr>
          <w:p w:rsidR="00304CFC" w:rsidRPr="00A94E9B" w:rsidRDefault="00304CFC" w:rsidP="00741D5C">
            <w:pPr>
              <w:spacing w:line="240" w:lineRule="auto"/>
              <w:jc w:val="left"/>
              <w:rPr>
                <w:rFonts w:eastAsia="Times New Roman" w:cs="Times New Roman"/>
                <w:color w:val="000000"/>
              </w:rPr>
            </w:pPr>
          </w:p>
        </w:tc>
        <w:tc>
          <w:tcPr>
            <w:tcW w:w="2500" w:type="dxa"/>
            <w:tcBorders>
              <w:top w:val="nil"/>
              <w:bottom w:val="single" w:sz="4" w:space="0" w:color="auto"/>
            </w:tcBorders>
            <w:shd w:val="clear" w:color="auto" w:fill="auto"/>
            <w:vAlign w:val="center"/>
            <w:hideMark/>
          </w:tcPr>
          <w:p w:rsidR="00304CFC" w:rsidRPr="00A94E9B" w:rsidRDefault="00304CFC" w:rsidP="00741D5C">
            <w:pPr>
              <w:spacing w:line="240" w:lineRule="auto"/>
              <w:jc w:val="left"/>
              <w:rPr>
                <w:rFonts w:eastAsia="Times New Roman" w:cs="Times New Roman"/>
                <w:i/>
                <w:iCs/>
                <w:color w:val="000000"/>
                <w:sz w:val="20"/>
                <w:szCs w:val="20"/>
              </w:rPr>
            </w:pPr>
            <w:r w:rsidRPr="00A94E9B">
              <w:rPr>
                <w:rFonts w:eastAsia="Times New Roman" w:cs="Times New Roman"/>
                <w:i/>
                <w:iCs/>
                <w:color w:val="000000"/>
                <w:sz w:val="20"/>
                <w:szCs w:val="20"/>
              </w:rPr>
              <w:t>Aegiceras corniculatum</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7.22</w:t>
            </w:r>
          </w:p>
        </w:tc>
        <w:tc>
          <w:tcPr>
            <w:tcW w:w="1039"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4.40</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3.12</w:t>
            </w:r>
          </w:p>
        </w:tc>
      </w:tr>
      <w:tr w:rsidR="00304CFC" w:rsidRPr="00A94E9B" w:rsidTr="00741D5C">
        <w:trPr>
          <w:trHeight w:val="300"/>
          <w:jc w:val="center"/>
        </w:trPr>
        <w:tc>
          <w:tcPr>
            <w:tcW w:w="560" w:type="dxa"/>
            <w:vMerge w:val="restart"/>
            <w:tcBorders>
              <w:top w:val="nil"/>
              <w:bottom w:val="single" w:sz="4" w:space="0" w:color="auto"/>
            </w:tcBorders>
            <w:shd w:val="clear" w:color="auto" w:fill="auto"/>
            <w:noWrap/>
            <w:hideMark/>
          </w:tcPr>
          <w:p w:rsidR="00304CFC" w:rsidRPr="00A94E9B" w:rsidRDefault="00304CFC" w:rsidP="00741D5C">
            <w:pPr>
              <w:spacing w:line="240" w:lineRule="auto"/>
              <w:jc w:val="center"/>
              <w:rPr>
                <w:rFonts w:eastAsia="Times New Roman" w:cs="Times New Roman"/>
                <w:color w:val="000000"/>
              </w:rPr>
            </w:pPr>
            <w:r w:rsidRPr="00A94E9B">
              <w:rPr>
                <w:rFonts w:eastAsia="Times New Roman" w:cs="Times New Roman"/>
                <w:color w:val="000000"/>
                <w:sz w:val="22"/>
              </w:rPr>
              <w:t>1</w:t>
            </w:r>
          </w:p>
        </w:tc>
        <w:tc>
          <w:tcPr>
            <w:tcW w:w="2500" w:type="dxa"/>
            <w:tcBorders>
              <w:top w:val="nil"/>
              <w:bottom w:val="single" w:sz="4" w:space="0" w:color="auto"/>
            </w:tcBorders>
            <w:shd w:val="clear" w:color="auto" w:fill="auto"/>
            <w:vAlign w:val="center"/>
            <w:hideMark/>
          </w:tcPr>
          <w:p w:rsidR="00304CFC" w:rsidRPr="00A94E9B" w:rsidRDefault="00304CFC" w:rsidP="00741D5C">
            <w:pPr>
              <w:spacing w:line="240" w:lineRule="auto"/>
              <w:jc w:val="left"/>
              <w:rPr>
                <w:rFonts w:eastAsia="Times New Roman" w:cs="Times New Roman"/>
                <w:i/>
                <w:iCs/>
                <w:color w:val="000000"/>
                <w:sz w:val="20"/>
                <w:szCs w:val="20"/>
              </w:rPr>
            </w:pPr>
            <w:r w:rsidRPr="00A94E9B">
              <w:rPr>
                <w:rFonts w:eastAsia="Times New Roman" w:cs="Times New Roman"/>
                <w:i/>
                <w:iCs/>
                <w:color w:val="000000"/>
                <w:sz w:val="20"/>
                <w:szCs w:val="20"/>
              </w:rPr>
              <w:t>Rhizophora apiculata</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6.98</w:t>
            </w:r>
          </w:p>
        </w:tc>
        <w:tc>
          <w:tcPr>
            <w:tcW w:w="1039"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5.31</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3.49</w:t>
            </w:r>
          </w:p>
        </w:tc>
      </w:tr>
      <w:tr w:rsidR="00304CFC" w:rsidRPr="00A94E9B" w:rsidTr="00741D5C">
        <w:trPr>
          <w:trHeight w:val="300"/>
          <w:jc w:val="center"/>
        </w:trPr>
        <w:tc>
          <w:tcPr>
            <w:tcW w:w="560" w:type="dxa"/>
            <w:vMerge/>
            <w:tcBorders>
              <w:top w:val="nil"/>
              <w:bottom w:val="single" w:sz="4" w:space="0" w:color="auto"/>
            </w:tcBorders>
            <w:vAlign w:val="center"/>
            <w:hideMark/>
          </w:tcPr>
          <w:p w:rsidR="00304CFC" w:rsidRPr="00A94E9B" w:rsidRDefault="00304CFC" w:rsidP="00741D5C">
            <w:pPr>
              <w:spacing w:line="240" w:lineRule="auto"/>
              <w:jc w:val="left"/>
              <w:rPr>
                <w:rFonts w:eastAsia="Times New Roman" w:cs="Times New Roman"/>
                <w:color w:val="000000"/>
              </w:rPr>
            </w:pPr>
          </w:p>
        </w:tc>
        <w:tc>
          <w:tcPr>
            <w:tcW w:w="2500" w:type="dxa"/>
            <w:tcBorders>
              <w:top w:val="nil"/>
              <w:bottom w:val="single" w:sz="4" w:space="0" w:color="auto"/>
            </w:tcBorders>
            <w:shd w:val="clear" w:color="auto" w:fill="auto"/>
            <w:vAlign w:val="center"/>
            <w:hideMark/>
          </w:tcPr>
          <w:p w:rsidR="00304CFC" w:rsidRPr="00A94E9B" w:rsidRDefault="00304CFC" w:rsidP="00741D5C">
            <w:pPr>
              <w:spacing w:line="240" w:lineRule="auto"/>
              <w:jc w:val="left"/>
              <w:rPr>
                <w:rFonts w:eastAsia="Times New Roman" w:cs="Times New Roman"/>
                <w:i/>
                <w:iCs/>
                <w:color w:val="000000"/>
                <w:sz w:val="20"/>
                <w:szCs w:val="20"/>
              </w:rPr>
            </w:pPr>
            <w:r w:rsidRPr="00A94E9B">
              <w:rPr>
                <w:rFonts w:eastAsia="Times New Roman" w:cs="Times New Roman"/>
                <w:i/>
                <w:iCs/>
                <w:color w:val="000000"/>
                <w:sz w:val="20"/>
                <w:szCs w:val="20"/>
              </w:rPr>
              <w:t>Bruguiera sexangula</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8.67</w:t>
            </w:r>
          </w:p>
        </w:tc>
        <w:tc>
          <w:tcPr>
            <w:tcW w:w="1039"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4.23</w:t>
            </w:r>
          </w:p>
        </w:tc>
        <w:tc>
          <w:tcPr>
            <w:tcW w:w="921" w:type="dxa"/>
            <w:tcBorders>
              <w:top w:val="nil"/>
              <w:bottom w:val="single" w:sz="4" w:space="0" w:color="auto"/>
            </w:tcBorders>
            <w:shd w:val="clear" w:color="auto" w:fill="auto"/>
            <w:noWrap/>
            <w:vAlign w:val="bottom"/>
            <w:hideMark/>
          </w:tcPr>
          <w:p w:rsidR="00304CFC" w:rsidRPr="00A94E9B" w:rsidRDefault="00304CFC" w:rsidP="00741D5C">
            <w:pPr>
              <w:spacing w:line="240" w:lineRule="auto"/>
              <w:jc w:val="right"/>
              <w:rPr>
                <w:rFonts w:eastAsia="Times New Roman" w:cs="Times New Roman"/>
                <w:color w:val="000000"/>
              </w:rPr>
            </w:pPr>
            <w:r w:rsidRPr="00A94E9B">
              <w:rPr>
                <w:rFonts w:eastAsia="Times New Roman" w:cs="Times New Roman"/>
                <w:color w:val="000000"/>
                <w:sz w:val="22"/>
              </w:rPr>
              <w:t>2.61</w:t>
            </w:r>
          </w:p>
        </w:tc>
      </w:tr>
      <w:tr w:rsidR="00304CFC" w:rsidRPr="005C2D5F" w:rsidTr="00741D5C">
        <w:trPr>
          <w:trHeight w:val="300"/>
          <w:jc w:val="center"/>
        </w:trPr>
        <w:tc>
          <w:tcPr>
            <w:tcW w:w="560" w:type="dxa"/>
            <w:vMerge/>
            <w:tcBorders>
              <w:top w:val="nil"/>
              <w:bottom w:val="single" w:sz="4" w:space="0" w:color="auto"/>
            </w:tcBorders>
            <w:vAlign w:val="center"/>
            <w:hideMark/>
          </w:tcPr>
          <w:p w:rsidR="00304CFC" w:rsidRPr="00A94E9B" w:rsidRDefault="00304CFC" w:rsidP="00741D5C">
            <w:pPr>
              <w:spacing w:line="240" w:lineRule="auto"/>
              <w:jc w:val="left"/>
              <w:rPr>
                <w:rFonts w:eastAsia="Times New Roman" w:cs="Times New Roman"/>
                <w:color w:val="000000"/>
              </w:rPr>
            </w:pPr>
          </w:p>
        </w:tc>
        <w:tc>
          <w:tcPr>
            <w:tcW w:w="2500" w:type="dxa"/>
            <w:tcBorders>
              <w:top w:val="nil"/>
              <w:bottom w:val="single" w:sz="4" w:space="0" w:color="auto"/>
            </w:tcBorders>
            <w:shd w:val="clear" w:color="auto" w:fill="auto"/>
            <w:vAlign w:val="center"/>
            <w:hideMark/>
          </w:tcPr>
          <w:p w:rsidR="00304CFC" w:rsidRPr="00A94E9B" w:rsidRDefault="00304CFC" w:rsidP="00741D5C">
            <w:pPr>
              <w:spacing w:line="240" w:lineRule="auto"/>
              <w:jc w:val="left"/>
              <w:rPr>
                <w:rFonts w:eastAsia="Times New Roman" w:cs="Times New Roman"/>
                <w:i/>
                <w:iCs/>
                <w:color w:val="000000"/>
                <w:sz w:val="20"/>
                <w:szCs w:val="20"/>
              </w:rPr>
            </w:pPr>
            <w:r w:rsidRPr="00A94E9B">
              <w:rPr>
                <w:rFonts w:eastAsia="Times New Roman" w:cs="Times New Roman"/>
                <w:i/>
                <w:iCs/>
                <w:color w:val="000000"/>
                <w:sz w:val="20"/>
                <w:szCs w:val="20"/>
              </w:rPr>
              <w:t>Sonneratiacaseolaris</w:t>
            </w:r>
          </w:p>
        </w:tc>
        <w:tc>
          <w:tcPr>
            <w:tcW w:w="921" w:type="dxa"/>
            <w:tcBorders>
              <w:top w:val="nil"/>
              <w:bottom w:val="single" w:sz="4" w:space="0" w:color="auto"/>
            </w:tcBorders>
            <w:shd w:val="clear" w:color="auto" w:fill="auto"/>
            <w:noWrap/>
            <w:vAlign w:val="center"/>
            <w:hideMark/>
          </w:tcPr>
          <w:p w:rsidR="00304CFC" w:rsidRPr="005C2D5F" w:rsidRDefault="00304CFC" w:rsidP="00741D5C">
            <w:pPr>
              <w:spacing w:line="240" w:lineRule="auto"/>
              <w:jc w:val="right"/>
              <w:rPr>
                <w:rFonts w:eastAsia="Times New Roman" w:cs="Times New Roman"/>
                <w:color w:val="000000"/>
              </w:rPr>
            </w:pPr>
            <w:r w:rsidRPr="005C2D5F">
              <w:rPr>
                <w:rFonts w:eastAsia="Times New Roman" w:cs="Times New Roman"/>
                <w:color w:val="000000"/>
                <w:sz w:val="22"/>
              </w:rPr>
              <w:t>7.29</w:t>
            </w:r>
          </w:p>
        </w:tc>
        <w:tc>
          <w:tcPr>
            <w:tcW w:w="1039" w:type="dxa"/>
            <w:tcBorders>
              <w:top w:val="nil"/>
              <w:bottom w:val="single" w:sz="4" w:space="0" w:color="auto"/>
            </w:tcBorders>
            <w:shd w:val="clear" w:color="auto" w:fill="auto"/>
            <w:noWrap/>
            <w:vAlign w:val="center"/>
            <w:hideMark/>
          </w:tcPr>
          <w:p w:rsidR="00304CFC" w:rsidRPr="005C2D5F" w:rsidRDefault="00304CFC" w:rsidP="00741D5C">
            <w:pPr>
              <w:spacing w:line="240" w:lineRule="auto"/>
              <w:jc w:val="right"/>
              <w:rPr>
                <w:rFonts w:eastAsia="Times New Roman" w:cs="Times New Roman"/>
                <w:color w:val="000000"/>
              </w:rPr>
            </w:pPr>
            <w:r w:rsidRPr="005C2D5F">
              <w:rPr>
                <w:rFonts w:eastAsia="Times New Roman" w:cs="Times New Roman"/>
                <w:color w:val="000000"/>
                <w:sz w:val="22"/>
              </w:rPr>
              <w:t>7.67</w:t>
            </w:r>
          </w:p>
        </w:tc>
        <w:tc>
          <w:tcPr>
            <w:tcW w:w="921" w:type="dxa"/>
            <w:tcBorders>
              <w:top w:val="nil"/>
              <w:bottom w:val="single" w:sz="4" w:space="0" w:color="auto"/>
            </w:tcBorders>
            <w:shd w:val="clear" w:color="auto" w:fill="auto"/>
            <w:noWrap/>
            <w:vAlign w:val="center"/>
            <w:hideMark/>
          </w:tcPr>
          <w:p w:rsidR="00304CFC" w:rsidRPr="005C2D5F" w:rsidRDefault="00304CFC" w:rsidP="00741D5C">
            <w:pPr>
              <w:spacing w:line="240" w:lineRule="auto"/>
              <w:jc w:val="right"/>
              <w:rPr>
                <w:rFonts w:eastAsia="Times New Roman" w:cs="Times New Roman"/>
                <w:color w:val="000000"/>
              </w:rPr>
            </w:pPr>
            <w:r w:rsidRPr="005C2D5F">
              <w:rPr>
                <w:rFonts w:eastAsia="Times New Roman" w:cs="Times New Roman"/>
                <w:color w:val="000000"/>
                <w:sz w:val="22"/>
              </w:rPr>
              <w:t>1.62</w:t>
            </w:r>
          </w:p>
        </w:tc>
      </w:tr>
    </w:tbl>
    <w:p w:rsidR="00304CFC" w:rsidRDefault="00304CFC" w:rsidP="00304CFC">
      <w:pPr>
        <w:spacing w:line="240" w:lineRule="auto"/>
      </w:pPr>
    </w:p>
    <w:p w:rsidR="00130646" w:rsidRDefault="00130646"/>
    <w:sectPr w:rsidR="00130646" w:rsidSect="00F52EB0">
      <w:pgSz w:w="12240" w:h="15840"/>
      <w:pgMar w:top="1418" w:right="1418" w:bottom="1418"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56C14"/>
    <w:multiLevelType w:val="hybridMultilevel"/>
    <w:tmpl w:val="189467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BA8"/>
    <w:rsid w:val="00130646"/>
    <w:rsid w:val="002076E7"/>
    <w:rsid w:val="002644E5"/>
    <w:rsid w:val="00304CFC"/>
    <w:rsid w:val="004B1CEA"/>
    <w:rsid w:val="007443C6"/>
    <w:rsid w:val="00A26BA8"/>
    <w:rsid w:val="00F52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4CFC"/>
    <w:pPr>
      <w:spacing w:after="0"/>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2644E5"/>
    <w:rPr>
      <w:i w:val="0"/>
      <w:iCs/>
      <w:color w:val="auto"/>
    </w:rPr>
  </w:style>
  <w:style w:type="paragraph" w:styleId="ListParagraph">
    <w:name w:val="List Paragraph"/>
    <w:basedOn w:val="Normal"/>
    <w:uiPriority w:val="34"/>
    <w:qFormat/>
    <w:rsid w:val="00304CFC"/>
    <w:pPr>
      <w:ind w:left="720"/>
      <w:contextualSpacing/>
    </w:pPr>
  </w:style>
  <w:style w:type="paragraph" w:styleId="BalloonText">
    <w:name w:val="Balloon Text"/>
    <w:basedOn w:val="Normal"/>
    <w:link w:val="BalloonTextChar"/>
    <w:uiPriority w:val="99"/>
    <w:semiHidden/>
    <w:unhideWhenUsed/>
    <w:rsid w:val="00304C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CFC"/>
    <w:rPr>
      <w:rFonts w:ascii="Tahoma" w:hAnsi="Tahoma" w:cs="Tahoma"/>
      <w:sz w:val="16"/>
      <w:szCs w:val="16"/>
    </w:rPr>
  </w:style>
  <w:style w:type="table" w:styleId="TableGrid">
    <w:name w:val="Table Grid"/>
    <w:basedOn w:val="TableNormal"/>
    <w:rsid w:val="00304C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4CFC"/>
    <w:pPr>
      <w:spacing w:after="0"/>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2644E5"/>
    <w:rPr>
      <w:i w:val="0"/>
      <w:iCs/>
      <w:color w:val="auto"/>
    </w:rPr>
  </w:style>
  <w:style w:type="paragraph" w:styleId="ListParagraph">
    <w:name w:val="List Paragraph"/>
    <w:basedOn w:val="Normal"/>
    <w:uiPriority w:val="34"/>
    <w:qFormat/>
    <w:rsid w:val="00304CFC"/>
    <w:pPr>
      <w:ind w:left="720"/>
      <w:contextualSpacing/>
    </w:pPr>
  </w:style>
  <w:style w:type="paragraph" w:styleId="BalloonText">
    <w:name w:val="Balloon Text"/>
    <w:basedOn w:val="Normal"/>
    <w:link w:val="BalloonTextChar"/>
    <w:uiPriority w:val="99"/>
    <w:semiHidden/>
    <w:unhideWhenUsed/>
    <w:rsid w:val="00304C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CFC"/>
    <w:rPr>
      <w:rFonts w:ascii="Tahoma" w:hAnsi="Tahoma" w:cs="Tahoma"/>
      <w:sz w:val="16"/>
      <w:szCs w:val="16"/>
    </w:rPr>
  </w:style>
  <w:style w:type="table" w:styleId="TableGrid">
    <w:name w:val="Table Grid"/>
    <w:basedOn w:val="TableNormal"/>
    <w:rsid w:val="00304C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3.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chart" Target="charts/chart1.xml"/><Relationship Id="rId12" Type="http://schemas.openxmlformats.org/officeDocument/2006/relationships/image" Target="media/image2.png"/><Relationship Id="rId17" Type="http://schemas.openxmlformats.org/officeDocument/2006/relationships/chart" Target="charts/chart7.xml"/><Relationship Id="rId2" Type="http://schemas.openxmlformats.org/officeDocument/2006/relationships/styles" Target="styles.xml"/><Relationship Id="rId16" Type="http://schemas.openxmlformats.org/officeDocument/2006/relationships/chart" Target="charts/chart6.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chart" Target="charts/chart5.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chart" Target="charts/chart4.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1" Type="http://schemas.openxmlformats.org/officeDocument/2006/relationships/oleObject" Target="file:///E:\PENELITIAN%20DIKTI\2013%20penellitian%20DIKTI%20dan%20PPM\2013%20kompetensi\tahun%202014\laporan%20akhir\olahan%20lead%20accumulati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PENELITIAN%20DIKTI\2013%20penellitian%20DIKTI%20dan%20PPM\2013%20kompetensi\tahun%202014\laporan%20akhir\olahan%20lead%20accumulation.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PENELITIAN%20DIKTI\2013%20penellitian%20DIKTI%20dan%20PPM\2013%20kompetensi\tahun%202014\laporan%20akhir\olahan%20lead%20accumulation.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PENELITIAN%20DIKTI\2013%20penellitian%20DIKTI%20dan%20PPM\2013%20kompetensi\tahun%202014\laporan%20akhir\olahan%20lead%20accumulation.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PENELITIAN%20DIKTI\2013%20penellitian%20DIKTI%20dan%20PPM\2013%20kompetensi\tahun%202014\laporan%20akhir\olahan%20lead%20accumulatio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TULISAN%20ILMIAH\tulisan%20ilmiah%20mangrove\2015\lead%20sumbit%20jurnal\lead%20acumuulation.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G:\1.%20data%20utama\TULISAN%20ILMIAH\tulisan%20ilmiah%20mangrove\2015\lead%20sumbit%20jurnal\Hilmi%20et%20al\SWQE\BAF%20dan%20TF.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a:t>Lead Accumulation in Segara Anakan Lagoon</a:t>
            </a:r>
          </a:p>
        </c:rich>
      </c:tx>
      <c:overlay val="0"/>
    </c:title>
    <c:autoTitleDeleted val="0"/>
    <c:plotArea>
      <c:layout/>
      <c:lineChart>
        <c:grouping val="standard"/>
        <c:varyColors val="0"/>
        <c:ser>
          <c:idx val="0"/>
          <c:order val="0"/>
          <c:tx>
            <c:strRef>
              <c:f>Sheet3!$I$6</c:f>
              <c:strCache>
                <c:ptCount val="1"/>
                <c:pt idx="0">
                  <c:v>Water</c:v>
                </c:pt>
              </c:strCache>
            </c:strRef>
          </c:tx>
          <c:val>
            <c:numRef>
              <c:f>Sheet3!$I$7:$I$10</c:f>
              <c:numCache>
                <c:formatCode>General</c:formatCode>
                <c:ptCount val="4"/>
                <c:pt idx="0">
                  <c:v>0.17700000000000021</c:v>
                </c:pt>
                <c:pt idx="1">
                  <c:v>0.21200000000000024</c:v>
                </c:pt>
                <c:pt idx="2">
                  <c:v>0.18000000000000024</c:v>
                </c:pt>
                <c:pt idx="3">
                  <c:v>0.223</c:v>
                </c:pt>
              </c:numCache>
            </c:numRef>
          </c:val>
          <c:smooth val="0"/>
        </c:ser>
        <c:ser>
          <c:idx val="1"/>
          <c:order val="1"/>
          <c:tx>
            <c:strRef>
              <c:f>Sheet3!$J$6</c:f>
              <c:strCache>
                <c:ptCount val="1"/>
                <c:pt idx="0">
                  <c:v>Sediment</c:v>
                </c:pt>
              </c:strCache>
            </c:strRef>
          </c:tx>
          <c:val>
            <c:numRef>
              <c:f>Sheet3!$J$7:$J$10</c:f>
              <c:numCache>
                <c:formatCode>General</c:formatCode>
                <c:ptCount val="4"/>
                <c:pt idx="0">
                  <c:v>0.78</c:v>
                </c:pt>
                <c:pt idx="1">
                  <c:v>0.52500000000000002</c:v>
                </c:pt>
                <c:pt idx="2">
                  <c:v>0.41900000000000032</c:v>
                </c:pt>
                <c:pt idx="3">
                  <c:v>0.32000000000000073</c:v>
                </c:pt>
              </c:numCache>
            </c:numRef>
          </c:val>
          <c:smooth val="0"/>
        </c:ser>
        <c:dLbls>
          <c:showLegendKey val="0"/>
          <c:showVal val="0"/>
          <c:showCatName val="0"/>
          <c:showSerName val="0"/>
          <c:showPercent val="0"/>
          <c:showBubbleSize val="0"/>
        </c:dLbls>
        <c:marker val="1"/>
        <c:smooth val="0"/>
        <c:axId val="173242624"/>
        <c:axId val="173260800"/>
      </c:lineChart>
      <c:catAx>
        <c:axId val="173242624"/>
        <c:scaling>
          <c:orientation val="minMax"/>
        </c:scaling>
        <c:delete val="0"/>
        <c:axPos val="b"/>
        <c:majorTickMark val="none"/>
        <c:minorTickMark val="none"/>
        <c:tickLblPos val="nextTo"/>
        <c:crossAx val="173260800"/>
        <c:crosses val="autoZero"/>
        <c:auto val="1"/>
        <c:lblAlgn val="ctr"/>
        <c:lblOffset val="100"/>
        <c:noMultiLvlLbl val="0"/>
      </c:catAx>
      <c:valAx>
        <c:axId val="173260800"/>
        <c:scaling>
          <c:orientation val="minMax"/>
        </c:scaling>
        <c:delete val="0"/>
        <c:axPos val="l"/>
        <c:majorGridlines/>
        <c:title>
          <c:tx>
            <c:rich>
              <a:bodyPr/>
              <a:lstStyle/>
              <a:p>
                <a:pPr>
                  <a:defRPr/>
                </a:pPr>
                <a:r>
                  <a:rPr lang="en-US"/>
                  <a:t>lead</a:t>
                </a:r>
                <a:r>
                  <a:rPr lang="en-US" baseline="0"/>
                  <a:t> accumlation (ppm)</a:t>
                </a:r>
                <a:endParaRPr lang="en-US"/>
              </a:p>
            </c:rich>
          </c:tx>
          <c:overlay val="0"/>
        </c:title>
        <c:numFmt formatCode="General" sourceLinked="1"/>
        <c:majorTickMark val="none"/>
        <c:minorTickMark val="none"/>
        <c:tickLblPos val="nextTo"/>
        <c:crossAx val="173242624"/>
        <c:crosses val="autoZero"/>
        <c:crossBetween val="between"/>
      </c:valAx>
    </c:plotArea>
    <c:legend>
      <c:legendPos val="r"/>
      <c:overlay val="0"/>
    </c:legend>
    <c:plotVisOnly val="1"/>
    <c:dispBlanksAs val="gap"/>
    <c:showDLblsOverMax val="0"/>
  </c:chart>
  <c:spPr>
    <a:noFill/>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a:t>Lead Accumulation in Segara Anakan Lagoon 1 (mg/kg)</a:t>
            </a:r>
          </a:p>
        </c:rich>
      </c:tx>
      <c:overlay val="0"/>
    </c:title>
    <c:autoTitleDeleted val="0"/>
    <c:plotArea>
      <c:layout/>
      <c:barChart>
        <c:barDir val="col"/>
        <c:grouping val="clustered"/>
        <c:varyColors val="0"/>
        <c:ser>
          <c:idx val="0"/>
          <c:order val="0"/>
          <c:tx>
            <c:strRef>
              <c:f>perstation!$D$9</c:f>
              <c:strCache>
                <c:ptCount val="1"/>
                <c:pt idx="0">
                  <c:v>Rhizophora apiculata</c:v>
                </c:pt>
              </c:strCache>
            </c:strRef>
          </c:tx>
          <c:invertIfNegative val="0"/>
          <c:errBars>
            <c:errBarType val="both"/>
            <c:errValType val="stdErr"/>
            <c:noEndCap val="0"/>
          </c:errBars>
          <c:cat>
            <c:strRef>
              <c:f>perstation!$E$8:$G$8</c:f>
              <c:strCache>
                <c:ptCount val="3"/>
                <c:pt idx="0">
                  <c:v>Root</c:v>
                </c:pt>
                <c:pt idx="1">
                  <c:v>Stem </c:v>
                </c:pt>
                <c:pt idx="2">
                  <c:v>Leaf </c:v>
                </c:pt>
              </c:strCache>
            </c:strRef>
          </c:cat>
          <c:val>
            <c:numRef>
              <c:f>perstation!$E$9:$G$9</c:f>
              <c:numCache>
                <c:formatCode>General</c:formatCode>
                <c:ptCount val="3"/>
                <c:pt idx="0">
                  <c:v>7.35</c:v>
                </c:pt>
                <c:pt idx="1">
                  <c:v>4.16</c:v>
                </c:pt>
                <c:pt idx="2">
                  <c:v>2.92</c:v>
                </c:pt>
              </c:numCache>
            </c:numRef>
          </c:val>
        </c:ser>
        <c:ser>
          <c:idx val="1"/>
          <c:order val="1"/>
          <c:tx>
            <c:strRef>
              <c:f>perstation!$D$10</c:f>
              <c:strCache>
                <c:ptCount val="1"/>
                <c:pt idx="0">
                  <c:v>Rhizophora mucronata</c:v>
                </c:pt>
              </c:strCache>
            </c:strRef>
          </c:tx>
          <c:invertIfNegative val="0"/>
          <c:errBars>
            <c:errBarType val="both"/>
            <c:errValType val="stdErr"/>
            <c:noEndCap val="0"/>
          </c:errBars>
          <c:cat>
            <c:strRef>
              <c:f>perstation!$E$8:$G$8</c:f>
              <c:strCache>
                <c:ptCount val="3"/>
                <c:pt idx="0">
                  <c:v>Root</c:v>
                </c:pt>
                <c:pt idx="1">
                  <c:v>Stem </c:v>
                </c:pt>
                <c:pt idx="2">
                  <c:v>Leaf </c:v>
                </c:pt>
              </c:strCache>
            </c:strRef>
          </c:cat>
          <c:val>
            <c:numRef>
              <c:f>perstation!$E$10:$G$10</c:f>
              <c:numCache>
                <c:formatCode>General</c:formatCode>
                <c:ptCount val="3"/>
                <c:pt idx="0">
                  <c:v>6.96</c:v>
                </c:pt>
                <c:pt idx="1">
                  <c:v>4.55</c:v>
                </c:pt>
                <c:pt idx="2">
                  <c:v>2.13</c:v>
                </c:pt>
              </c:numCache>
            </c:numRef>
          </c:val>
        </c:ser>
        <c:ser>
          <c:idx val="2"/>
          <c:order val="2"/>
          <c:tx>
            <c:strRef>
              <c:f>perstation!$D$11</c:f>
              <c:strCache>
                <c:ptCount val="1"/>
                <c:pt idx="0">
                  <c:v>Avicennia marina</c:v>
                </c:pt>
              </c:strCache>
            </c:strRef>
          </c:tx>
          <c:invertIfNegative val="0"/>
          <c:errBars>
            <c:errBarType val="both"/>
            <c:errValType val="stdErr"/>
            <c:noEndCap val="0"/>
          </c:errBars>
          <c:cat>
            <c:strRef>
              <c:f>perstation!$E$8:$G$8</c:f>
              <c:strCache>
                <c:ptCount val="3"/>
                <c:pt idx="0">
                  <c:v>Root</c:v>
                </c:pt>
                <c:pt idx="1">
                  <c:v>Stem </c:v>
                </c:pt>
                <c:pt idx="2">
                  <c:v>Leaf </c:v>
                </c:pt>
              </c:strCache>
            </c:strRef>
          </c:cat>
          <c:val>
            <c:numRef>
              <c:f>perstation!$E$11:$G$11</c:f>
              <c:numCache>
                <c:formatCode>General</c:formatCode>
                <c:ptCount val="3"/>
                <c:pt idx="0">
                  <c:v>5.72</c:v>
                </c:pt>
                <c:pt idx="1">
                  <c:v>3.85</c:v>
                </c:pt>
                <c:pt idx="2">
                  <c:v>2.44</c:v>
                </c:pt>
              </c:numCache>
            </c:numRef>
          </c:val>
        </c:ser>
        <c:ser>
          <c:idx val="3"/>
          <c:order val="3"/>
          <c:tx>
            <c:strRef>
              <c:f>perstation!$D$12</c:f>
              <c:strCache>
                <c:ptCount val="1"/>
                <c:pt idx="0">
                  <c:v>sonneratia alba</c:v>
                </c:pt>
              </c:strCache>
            </c:strRef>
          </c:tx>
          <c:invertIfNegative val="0"/>
          <c:errBars>
            <c:errBarType val="both"/>
            <c:errValType val="stdErr"/>
            <c:noEndCap val="0"/>
          </c:errBars>
          <c:cat>
            <c:strRef>
              <c:f>perstation!$E$8:$G$8</c:f>
              <c:strCache>
                <c:ptCount val="3"/>
                <c:pt idx="0">
                  <c:v>Root</c:v>
                </c:pt>
                <c:pt idx="1">
                  <c:v>Stem </c:v>
                </c:pt>
                <c:pt idx="2">
                  <c:v>Leaf </c:v>
                </c:pt>
              </c:strCache>
            </c:strRef>
          </c:cat>
          <c:val>
            <c:numRef>
              <c:f>perstation!$E$12:$G$12</c:f>
              <c:numCache>
                <c:formatCode>General</c:formatCode>
                <c:ptCount val="3"/>
                <c:pt idx="0">
                  <c:v>5.08</c:v>
                </c:pt>
                <c:pt idx="1">
                  <c:v>3.95</c:v>
                </c:pt>
                <c:pt idx="2">
                  <c:v>2.35</c:v>
                </c:pt>
              </c:numCache>
            </c:numRef>
          </c:val>
        </c:ser>
        <c:ser>
          <c:idx val="4"/>
          <c:order val="4"/>
          <c:tx>
            <c:strRef>
              <c:f>perstation!$D$13</c:f>
              <c:strCache>
                <c:ptCount val="1"/>
                <c:pt idx="0">
                  <c:v>Aegiceras corniculatum</c:v>
                </c:pt>
              </c:strCache>
            </c:strRef>
          </c:tx>
          <c:invertIfNegative val="0"/>
          <c:errBars>
            <c:errBarType val="both"/>
            <c:errValType val="stdErr"/>
            <c:noEndCap val="0"/>
          </c:errBars>
          <c:cat>
            <c:strRef>
              <c:f>perstation!$E$8:$G$8</c:f>
              <c:strCache>
                <c:ptCount val="3"/>
                <c:pt idx="0">
                  <c:v>Root</c:v>
                </c:pt>
                <c:pt idx="1">
                  <c:v>Stem </c:v>
                </c:pt>
                <c:pt idx="2">
                  <c:v>Leaf </c:v>
                </c:pt>
              </c:strCache>
            </c:strRef>
          </c:cat>
          <c:val>
            <c:numRef>
              <c:f>perstation!$E$13:$G$13</c:f>
              <c:numCache>
                <c:formatCode>General</c:formatCode>
                <c:ptCount val="3"/>
                <c:pt idx="0">
                  <c:v>7.37</c:v>
                </c:pt>
                <c:pt idx="1">
                  <c:v>5.72</c:v>
                </c:pt>
                <c:pt idx="2">
                  <c:v>3.74</c:v>
                </c:pt>
              </c:numCache>
            </c:numRef>
          </c:val>
        </c:ser>
        <c:ser>
          <c:idx val="5"/>
          <c:order val="5"/>
          <c:tx>
            <c:strRef>
              <c:f>perstation!$D$14</c:f>
              <c:strCache>
                <c:ptCount val="1"/>
                <c:pt idx="0">
                  <c:v>Bruguiera gymnorrhiza</c:v>
                </c:pt>
              </c:strCache>
            </c:strRef>
          </c:tx>
          <c:invertIfNegative val="0"/>
          <c:errBars>
            <c:errBarType val="both"/>
            <c:errValType val="stdErr"/>
            <c:noEndCap val="0"/>
          </c:errBars>
          <c:cat>
            <c:strRef>
              <c:f>perstation!$E$8:$G$8</c:f>
              <c:strCache>
                <c:ptCount val="3"/>
                <c:pt idx="0">
                  <c:v>Root</c:v>
                </c:pt>
                <c:pt idx="1">
                  <c:v>Stem </c:v>
                </c:pt>
                <c:pt idx="2">
                  <c:v>Leaf </c:v>
                </c:pt>
              </c:strCache>
            </c:strRef>
          </c:cat>
          <c:val>
            <c:numRef>
              <c:f>perstation!$E$14:$G$14</c:f>
              <c:numCache>
                <c:formatCode>General</c:formatCode>
                <c:ptCount val="3"/>
                <c:pt idx="0">
                  <c:v>6.42</c:v>
                </c:pt>
                <c:pt idx="1">
                  <c:v>5.12</c:v>
                </c:pt>
                <c:pt idx="2">
                  <c:v>3.63</c:v>
                </c:pt>
              </c:numCache>
            </c:numRef>
          </c:val>
        </c:ser>
        <c:dLbls>
          <c:showLegendKey val="0"/>
          <c:showVal val="0"/>
          <c:showCatName val="0"/>
          <c:showSerName val="0"/>
          <c:showPercent val="0"/>
          <c:showBubbleSize val="0"/>
        </c:dLbls>
        <c:gapWidth val="150"/>
        <c:axId val="173320832"/>
        <c:axId val="173322624"/>
      </c:barChart>
      <c:catAx>
        <c:axId val="173320832"/>
        <c:scaling>
          <c:orientation val="minMax"/>
        </c:scaling>
        <c:delete val="0"/>
        <c:axPos val="b"/>
        <c:majorTickMark val="none"/>
        <c:minorTickMark val="none"/>
        <c:tickLblPos val="nextTo"/>
        <c:crossAx val="173322624"/>
        <c:crosses val="autoZero"/>
        <c:auto val="1"/>
        <c:lblAlgn val="ctr"/>
        <c:lblOffset val="100"/>
        <c:noMultiLvlLbl val="0"/>
      </c:catAx>
      <c:valAx>
        <c:axId val="173322624"/>
        <c:scaling>
          <c:orientation val="minMax"/>
        </c:scaling>
        <c:delete val="0"/>
        <c:axPos val="l"/>
        <c:majorGridlines/>
        <c:numFmt formatCode="#,##0.00" sourceLinked="0"/>
        <c:majorTickMark val="none"/>
        <c:minorTickMark val="none"/>
        <c:tickLblPos val="nextTo"/>
        <c:crossAx val="173320832"/>
        <c:crosses val="autoZero"/>
        <c:crossBetween val="between"/>
      </c:valAx>
    </c:plotArea>
    <c:legend>
      <c:legendPos val="r"/>
      <c:layout>
        <c:manualLayout>
          <c:xMode val="edge"/>
          <c:yMode val="edge"/>
          <c:x val="0.63154009553991364"/>
          <c:y val="0.23114883154478791"/>
          <c:w val="0.35675097912430759"/>
          <c:h val="0.53453516091763398"/>
        </c:manualLayout>
      </c:layout>
      <c:overlay val="0"/>
      <c:txPr>
        <a:bodyPr/>
        <a:lstStyle/>
        <a:p>
          <a:pPr>
            <a:defRPr sz="800"/>
          </a:pPr>
          <a:endParaRPr lang="en-US"/>
        </a:p>
      </c:txPr>
    </c:legend>
    <c:plotVisOnly val="1"/>
    <c:dispBlanksAs val="gap"/>
    <c:showDLblsOverMax val="0"/>
  </c:chart>
  <c:txPr>
    <a:bodyPr/>
    <a:lstStyle/>
    <a:p>
      <a:pPr>
        <a:defRPr sz="900"/>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b="1" i="0" u="none" strike="noStrike" baseline="0">
                <a:effectLst/>
              </a:rPr>
              <a:t>Lead Accumulation in Segara Anakan Lagoon 2  (mg/kg)</a:t>
            </a:r>
            <a:endParaRPr lang="en-US" sz="1200"/>
          </a:p>
        </c:rich>
      </c:tx>
      <c:overlay val="0"/>
    </c:title>
    <c:autoTitleDeleted val="0"/>
    <c:plotArea>
      <c:layout/>
      <c:barChart>
        <c:barDir val="col"/>
        <c:grouping val="clustered"/>
        <c:varyColors val="0"/>
        <c:ser>
          <c:idx val="0"/>
          <c:order val="0"/>
          <c:tx>
            <c:strRef>
              <c:f>perstation!$D$16</c:f>
              <c:strCache>
                <c:ptCount val="1"/>
                <c:pt idx="0">
                  <c:v>Rhizophora apiculata</c:v>
                </c:pt>
              </c:strCache>
            </c:strRef>
          </c:tx>
          <c:invertIfNegative val="0"/>
          <c:errBars>
            <c:errBarType val="both"/>
            <c:errValType val="stdErr"/>
            <c:noEndCap val="0"/>
          </c:errBars>
          <c:cat>
            <c:strRef>
              <c:f>perstation!$E$15:$G$15</c:f>
              <c:strCache>
                <c:ptCount val="3"/>
                <c:pt idx="0">
                  <c:v>Root</c:v>
                </c:pt>
                <c:pt idx="1">
                  <c:v>Stem </c:v>
                </c:pt>
                <c:pt idx="2">
                  <c:v>Leaf </c:v>
                </c:pt>
              </c:strCache>
            </c:strRef>
          </c:cat>
          <c:val>
            <c:numRef>
              <c:f>perstation!$E$16:$G$16</c:f>
              <c:numCache>
                <c:formatCode>General</c:formatCode>
                <c:ptCount val="3"/>
                <c:pt idx="0">
                  <c:v>5.0999999999999996</c:v>
                </c:pt>
                <c:pt idx="1">
                  <c:v>3.47</c:v>
                </c:pt>
                <c:pt idx="2">
                  <c:v>2.44</c:v>
                </c:pt>
              </c:numCache>
            </c:numRef>
          </c:val>
        </c:ser>
        <c:ser>
          <c:idx val="1"/>
          <c:order val="1"/>
          <c:tx>
            <c:strRef>
              <c:f>perstation!$D$17</c:f>
              <c:strCache>
                <c:ptCount val="1"/>
                <c:pt idx="0">
                  <c:v>Rhizophora mucronata</c:v>
                </c:pt>
              </c:strCache>
            </c:strRef>
          </c:tx>
          <c:invertIfNegative val="0"/>
          <c:errBars>
            <c:errBarType val="both"/>
            <c:errValType val="stdErr"/>
            <c:noEndCap val="0"/>
          </c:errBars>
          <c:cat>
            <c:strRef>
              <c:f>perstation!$E$15:$G$15</c:f>
              <c:strCache>
                <c:ptCount val="3"/>
                <c:pt idx="0">
                  <c:v>Root</c:v>
                </c:pt>
                <c:pt idx="1">
                  <c:v>Stem </c:v>
                </c:pt>
                <c:pt idx="2">
                  <c:v>Leaf </c:v>
                </c:pt>
              </c:strCache>
            </c:strRef>
          </c:cat>
          <c:val>
            <c:numRef>
              <c:f>perstation!$E$17:$G$17</c:f>
              <c:numCache>
                <c:formatCode>General</c:formatCode>
                <c:ptCount val="3"/>
                <c:pt idx="0">
                  <c:v>6.15</c:v>
                </c:pt>
                <c:pt idx="1">
                  <c:v>3.9</c:v>
                </c:pt>
                <c:pt idx="2">
                  <c:v>1.46</c:v>
                </c:pt>
              </c:numCache>
            </c:numRef>
          </c:val>
        </c:ser>
        <c:ser>
          <c:idx val="2"/>
          <c:order val="2"/>
          <c:tx>
            <c:strRef>
              <c:f>perstation!$D$18</c:f>
              <c:strCache>
                <c:ptCount val="1"/>
                <c:pt idx="0">
                  <c:v>Avicennia marina</c:v>
                </c:pt>
              </c:strCache>
            </c:strRef>
          </c:tx>
          <c:invertIfNegative val="0"/>
          <c:errBars>
            <c:errBarType val="both"/>
            <c:errValType val="stdErr"/>
            <c:noEndCap val="0"/>
          </c:errBars>
          <c:cat>
            <c:strRef>
              <c:f>perstation!$E$15:$G$15</c:f>
              <c:strCache>
                <c:ptCount val="3"/>
                <c:pt idx="0">
                  <c:v>Root</c:v>
                </c:pt>
                <c:pt idx="1">
                  <c:v>Stem </c:v>
                </c:pt>
                <c:pt idx="2">
                  <c:v>Leaf </c:v>
                </c:pt>
              </c:strCache>
            </c:strRef>
          </c:cat>
          <c:val>
            <c:numRef>
              <c:f>perstation!$E$18:$G$18</c:f>
              <c:numCache>
                <c:formatCode>General</c:formatCode>
                <c:ptCount val="3"/>
                <c:pt idx="0">
                  <c:v>4.8</c:v>
                </c:pt>
                <c:pt idx="1">
                  <c:v>3.18</c:v>
                </c:pt>
                <c:pt idx="2">
                  <c:v>1.57</c:v>
                </c:pt>
              </c:numCache>
            </c:numRef>
          </c:val>
        </c:ser>
        <c:ser>
          <c:idx val="3"/>
          <c:order val="3"/>
          <c:tx>
            <c:strRef>
              <c:f>perstation!$D$19</c:f>
              <c:strCache>
                <c:ptCount val="1"/>
                <c:pt idx="0">
                  <c:v>Aegiceras corniculatum</c:v>
                </c:pt>
              </c:strCache>
            </c:strRef>
          </c:tx>
          <c:invertIfNegative val="0"/>
          <c:errBars>
            <c:errBarType val="both"/>
            <c:errValType val="stdErr"/>
            <c:noEndCap val="0"/>
          </c:errBars>
          <c:cat>
            <c:strRef>
              <c:f>perstation!$E$15:$G$15</c:f>
              <c:strCache>
                <c:ptCount val="3"/>
                <c:pt idx="0">
                  <c:v>Root</c:v>
                </c:pt>
                <c:pt idx="1">
                  <c:v>Stem </c:v>
                </c:pt>
                <c:pt idx="2">
                  <c:v>Leaf </c:v>
                </c:pt>
              </c:strCache>
            </c:strRef>
          </c:cat>
          <c:val>
            <c:numRef>
              <c:f>perstation!$E$19:$G$19</c:f>
              <c:numCache>
                <c:formatCode>General</c:formatCode>
                <c:ptCount val="3"/>
                <c:pt idx="0">
                  <c:v>6.96</c:v>
                </c:pt>
                <c:pt idx="1">
                  <c:v>3.54</c:v>
                </c:pt>
                <c:pt idx="2">
                  <c:v>3.18</c:v>
                </c:pt>
              </c:numCache>
            </c:numRef>
          </c:val>
        </c:ser>
        <c:dLbls>
          <c:showLegendKey val="0"/>
          <c:showVal val="0"/>
          <c:showCatName val="0"/>
          <c:showSerName val="0"/>
          <c:showPercent val="0"/>
          <c:showBubbleSize val="0"/>
        </c:dLbls>
        <c:gapWidth val="150"/>
        <c:axId val="173404544"/>
        <c:axId val="173406080"/>
      </c:barChart>
      <c:catAx>
        <c:axId val="173404544"/>
        <c:scaling>
          <c:orientation val="minMax"/>
        </c:scaling>
        <c:delete val="0"/>
        <c:axPos val="b"/>
        <c:majorTickMark val="none"/>
        <c:minorTickMark val="none"/>
        <c:tickLblPos val="nextTo"/>
        <c:crossAx val="173406080"/>
        <c:crosses val="autoZero"/>
        <c:auto val="1"/>
        <c:lblAlgn val="ctr"/>
        <c:lblOffset val="100"/>
        <c:noMultiLvlLbl val="0"/>
      </c:catAx>
      <c:valAx>
        <c:axId val="173406080"/>
        <c:scaling>
          <c:orientation val="minMax"/>
        </c:scaling>
        <c:delete val="0"/>
        <c:axPos val="l"/>
        <c:majorGridlines/>
        <c:numFmt formatCode="#,##0.00" sourceLinked="0"/>
        <c:majorTickMark val="none"/>
        <c:minorTickMark val="none"/>
        <c:tickLblPos val="nextTo"/>
        <c:crossAx val="173404544"/>
        <c:crosses val="autoZero"/>
        <c:crossBetween val="between"/>
      </c:valAx>
    </c:plotArea>
    <c:legend>
      <c:legendPos val="r"/>
      <c:layout>
        <c:manualLayout>
          <c:xMode val="edge"/>
          <c:yMode val="edge"/>
          <c:x val="0.60530472708677019"/>
          <c:y val="0.2994215765460651"/>
          <c:w val="0.35566552179396715"/>
          <c:h val="0.38074018911183999"/>
        </c:manualLayout>
      </c:layout>
      <c:overlay val="0"/>
      <c:txPr>
        <a:bodyPr/>
        <a:lstStyle/>
        <a:p>
          <a:pPr>
            <a:defRPr sz="800"/>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b="1" i="0" u="none" strike="noStrike" baseline="0">
                <a:effectLst/>
              </a:rPr>
              <a:t>Lead Accumulation in Segara Anakan Lagoon 3 (mg/kg)</a:t>
            </a:r>
            <a:endParaRPr lang="en-US" sz="1200"/>
          </a:p>
        </c:rich>
      </c:tx>
      <c:overlay val="0"/>
    </c:title>
    <c:autoTitleDeleted val="0"/>
    <c:plotArea>
      <c:layout/>
      <c:barChart>
        <c:barDir val="col"/>
        <c:grouping val="clustered"/>
        <c:varyColors val="0"/>
        <c:ser>
          <c:idx val="0"/>
          <c:order val="0"/>
          <c:tx>
            <c:strRef>
              <c:f>perstation!$D$21</c:f>
              <c:strCache>
                <c:ptCount val="1"/>
                <c:pt idx="0">
                  <c:v>Rhizophora apiculata</c:v>
                </c:pt>
              </c:strCache>
            </c:strRef>
          </c:tx>
          <c:invertIfNegative val="0"/>
          <c:errBars>
            <c:errBarType val="both"/>
            <c:errValType val="stdErr"/>
            <c:noEndCap val="0"/>
          </c:errBars>
          <c:cat>
            <c:strRef>
              <c:f>perstation!$E$20:$G$20</c:f>
              <c:strCache>
                <c:ptCount val="3"/>
                <c:pt idx="0">
                  <c:v>Root</c:v>
                </c:pt>
                <c:pt idx="1">
                  <c:v>Stem </c:v>
                </c:pt>
                <c:pt idx="2">
                  <c:v>Leaf </c:v>
                </c:pt>
              </c:strCache>
            </c:strRef>
          </c:cat>
          <c:val>
            <c:numRef>
              <c:f>perstation!$E$21:$G$21</c:f>
              <c:numCache>
                <c:formatCode>General</c:formatCode>
                <c:ptCount val="3"/>
                <c:pt idx="0">
                  <c:v>8.27</c:v>
                </c:pt>
                <c:pt idx="1">
                  <c:v>6.65</c:v>
                </c:pt>
                <c:pt idx="2">
                  <c:v>3.83</c:v>
                </c:pt>
              </c:numCache>
            </c:numRef>
          </c:val>
        </c:ser>
        <c:ser>
          <c:idx val="1"/>
          <c:order val="1"/>
          <c:tx>
            <c:strRef>
              <c:f>perstation!$D$22</c:f>
              <c:strCache>
                <c:ptCount val="1"/>
                <c:pt idx="0">
                  <c:v>Bruguiera parviflora</c:v>
                </c:pt>
              </c:strCache>
            </c:strRef>
          </c:tx>
          <c:invertIfNegative val="0"/>
          <c:errBars>
            <c:errBarType val="both"/>
            <c:errValType val="stdErr"/>
            <c:noEndCap val="0"/>
          </c:errBars>
          <c:cat>
            <c:strRef>
              <c:f>perstation!$E$20:$G$20</c:f>
              <c:strCache>
                <c:ptCount val="3"/>
                <c:pt idx="0">
                  <c:v>Root</c:v>
                </c:pt>
                <c:pt idx="1">
                  <c:v>Stem </c:v>
                </c:pt>
                <c:pt idx="2">
                  <c:v>Leaf </c:v>
                </c:pt>
              </c:strCache>
            </c:strRef>
          </c:cat>
          <c:val>
            <c:numRef>
              <c:f>perstation!$E$22:$G$22</c:f>
              <c:numCache>
                <c:formatCode>General</c:formatCode>
                <c:ptCount val="3"/>
                <c:pt idx="0">
                  <c:v>5.55</c:v>
                </c:pt>
                <c:pt idx="1">
                  <c:v>3.59</c:v>
                </c:pt>
                <c:pt idx="2">
                  <c:v>2.5499999999999998</c:v>
                </c:pt>
              </c:numCache>
            </c:numRef>
          </c:val>
        </c:ser>
        <c:ser>
          <c:idx val="2"/>
          <c:order val="2"/>
          <c:tx>
            <c:strRef>
              <c:f>perstation!$D$23</c:f>
              <c:strCache>
                <c:ptCount val="1"/>
                <c:pt idx="0">
                  <c:v>Sonneratia alba</c:v>
                </c:pt>
              </c:strCache>
            </c:strRef>
          </c:tx>
          <c:invertIfNegative val="0"/>
          <c:errBars>
            <c:errBarType val="both"/>
            <c:errValType val="stdErr"/>
            <c:noEndCap val="0"/>
          </c:errBars>
          <c:cat>
            <c:strRef>
              <c:f>perstation!$E$20:$G$20</c:f>
              <c:strCache>
                <c:ptCount val="3"/>
                <c:pt idx="0">
                  <c:v>Root</c:v>
                </c:pt>
                <c:pt idx="1">
                  <c:v>Stem </c:v>
                </c:pt>
                <c:pt idx="2">
                  <c:v>Leaf </c:v>
                </c:pt>
              </c:strCache>
            </c:strRef>
          </c:cat>
          <c:val>
            <c:numRef>
              <c:f>perstation!$E$23:$G$23</c:f>
              <c:numCache>
                <c:formatCode>General</c:formatCode>
                <c:ptCount val="3"/>
                <c:pt idx="0">
                  <c:v>8.19</c:v>
                </c:pt>
                <c:pt idx="1">
                  <c:v>5.39</c:v>
                </c:pt>
                <c:pt idx="2">
                  <c:v>2.13</c:v>
                </c:pt>
              </c:numCache>
            </c:numRef>
          </c:val>
        </c:ser>
        <c:ser>
          <c:idx val="3"/>
          <c:order val="3"/>
          <c:tx>
            <c:strRef>
              <c:f>perstation!$D$24</c:f>
              <c:strCache>
                <c:ptCount val="1"/>
                <c:pt idx="0">
                  <c:v>Bruguiera sexangula</c:v>
                </c:pt>
              </c:strCache>
            </c:strRef>
          </c:tx>
          <c:invertIfNegative val="0"/>
          <c:errBars>
            <c:errBarType val="both"/>
            <c:errValType val="stdErr"/>
            <c:noEndCap val="0"/>
          </c:errBars>
          <c:cat>
            <c:strRef>
              <c:f>perstation!$E$20:$G$20</c:f>
              <c:strCache>
                <c:ptCount val="3"/>
                <c:pt idx="0">
                  <c:v>Root</c:v>
                </c:pt>
                <c:pt idx="1">
                  <c:v>Stem </c:v>
                </c:pt>
                <c:pt idx="2">
                  <c:v>Leaf </c:v>
                </c:pt>
              </c:strCache>
            </c:strRef>
          </c:cat>
          <c:val>
            <c:numRef>
              <c:f>perstation!$E$24:$G$24</c:f>
              <c:numCache>
                <c:formatCode>General</c:formatCode>
                <c:ptCount val="3"/>
                <c:pt idx="0">
                  <c:v>8.67</c:v>
                </c:pt>
                <c:pt idx="1">
                  <c:v>4.2300000000000004</c:v>
                </c:pt>
                <c:pt idx="2">
                  <c:v>2.61</c:v>
                </c:pt>
              </c:numCache>
            </c:numRef>
          </c:val>
        </c:ser>
        <c:dLbls>
          <c:showLegendKey val="0"/>
          <c:showVal val="0"/>
          <c:showCatName val="0"/>
          <c:showSerName val="0"/>
          <c:showPercent val="0"/>
          <c:showBubbleSize val="0"/>
        </c:dLbls>
        <c:gapWidth val="150"/>
        <c:axId val="200648576"/>
        <c:axId val="200650112"/>
      </c:barChart>
      <c:catAx>
        <c:axId val="200648576"/>
        <c:scaling>
          <c:orientation val="minMax"/>
        </c:scaling>
        <c:delete val="0"/>
        <c:axPos val="b"/>
        <c:majorTickMark val="none"/>
        <c:minorTickMark val="none"/>
        <c:tickLblPos val="nextTo"/>
        <c:crossAx val="200650112"/>
        <c:crosses val="autoZero"/>
        <c:auto val="1"/>
        <c:lblAlgn val="ctr"/>
        <c:lblOffset val="100"/>
        <c:noMultiLvlLbl val="0"/>
      </c:catAx>
      <c:valAx>
        <c:axId val="200650112"/>
        <c:scaling>
          <c:orientation val="minMax"/>
        </c:scaling>
        <c:delete val="0"/>
        <c:axPos val="l"/>
        <c:majorGridlines/>
        <c:numFmt formatCode="#,##0.00" sourceLinked="0"/>
        <c:majorTickMark val="none"/>
        <c:minorTickMark val="none"/>
        <c:tickLblPos val="nextTo"/>
        <c:crossAx val="200648576"/>
        <c:crosses val="autoZero"/>
        <c:crossBetween val="between"/>
      </c:valAx>
    </c:plotArea>
    <c:legend>
      <c:legendPos val="r"/>
      <c:layout>
        <c:manualLayout>
          <c:xMode val="edge"/>
          <c:yMode val="edge"/>
          <c:x val="0.64536958344745021"/>
          <c:y val="0.27687484907966664"/>
          <c:w val="0.29851878622917311"/>
          <c:h val="0.31295526261464507"/>
        </c:manualLayout>
      </c:layout>
      <c:overlay val="0"/>
      <c:txPr>
        <a:bodyPr/>
        <a:lstStyle/>
        <a:p>
          <a:pPr>
            <a:defRPr sz="800"/>
          </a:pPr>
          <a:endParaRPr lang="en-US"/>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b="1" i="0" baseline="0">
                <a:effectLst/>
              </a:rPr>
              <a:t>Lead Accumulation in Segara Anakan Lagoon 4 (mg/kg)</a:t>
            </a:r>
            <a:endParaRPr lang="en-US" sz="1200">
              <a:effectLst/>
            </a:endParaRPr>
          </a:p>
        </c:rich>
      </c:tx>
      <c:overlay val="0"/>
    </c:title>
    <c:autoTitleDeleted val="0"/>
    <c:plotArea>
      <c:layout/>
      <c:barChart>
        <c:barDir val="col"/>
        <c:grouping val="clustered"/>
        <c:varyColors val="0"/>
        <c:ser>
          <c:idx val="0"/>
          <c:order val="0"/>
          <c:tx>
            <c:strRef>
              <c:f>perstation!$D$26</c:f>
              <c:strCache>
                <c:ptCount val="1"/>
                <c:pt idx="0">
                  <c:v>Rhizophora apiculata</c:v>
                </c:pt>
              </c:strCache>
            </c:strRef>
          </c:tx>
          <c:invertIfNegative val="0"/>
          <c:errBars>
            <c:errBarType val="both"/>
            <c:errValType val="stdErr"/>
            <c:noEndCap val="0"/>
          </c:errBars>
          <c:cat>
            <c:strRef>
              <c:f>perstation!$E$25:$G$25</c:f>
              <c:strCache>
                <c:ptCount val="3"/>
                <c:pt idx="0">
                  <c:v>Root</c:v>
                </c:pt>
                <c:pt idx="1">
                  <c:v>Stem </c:v>
                </c:pt>
                <c:pt idx="2">
                  <c:v>Leaf </c:v>
                </c:pt>
              </c:strCache>
            </c:strRef>
          </c:cat>
          <c:val>
            <c:numRef>
              <c:f>perstation!$E$26:$G$26</c:f>
              <c:numCache>
                <c:formatCode>General</c:formatCode>
                <c:ptCount val="3"/>
                <c:pt idx="0">
                  <c:v>7.18</c:v>
                </c:pt>
                <c:pt idx="1">
                  <c:v>6.96</c:v>
                </c:pt>
                <c:pt idx="2">
                  <c:v>4.76</c:v>
                </c:pt>
              </c:numCache>
            </c:numRef>
          </c:val>
        </c:ser>
        <c:ser>
          <c:idx val="1"/>
          <c:order val="1"/>
          <c:tx>
            <c:strRef>
              <c:f>perstation!$D$27</c:f>
              <c:strCache>
                <c:ptCount val="1"/>
                <c:pt idx="0">
                  <c:v>Rhizophora mucronata</c:v>
                </c:pt>
              </c:strCache>
            </c:strRef>
          </c:tx>
          <c:invertIfNegative val="0"/>
          <c:errBars>
            <c:errBarType val="both"/>
            <c:errValType val="stdErr"/>
            <c:noEndCap val="0"/>
          </c:errBars>
          <c:cat>
            <c:strRef>
              <c:f>perstation!$E$25:$G$25</c:f>
              <c:strCache>
                <c:ptCount val="3"/>
                <c:pt idx="0">
                  <c:v>Root</c:v>
                </c:pt>
                <c:pt idx="1">
                  <c:v>Stem </c:v>
                </c:pt>
                <c:pt idx="2">
                  <c:v>Leaf </c:v>
                </c:pt>
              </c:strCache>
            </c:strRef>
          </c:cat>
          <c:val>
            <c:numRef>
              <c:f>perstation!$E$27:$G$27</c:f>
              <c:numCache>
                <c:formatCode>General</c:formatCode>
                <c:ptCount val="3"/>
                <c:pt idx="0">
                  <c:v>4.4000000000000004</c:v>
                </c:pt>
                <c:pt idx="1">
                  <c:v>2.48</c:v>
                </c:pt>
                <c:pt idx="2">
                  <c:v>0</c:v>
                </c:pt>
              </c:numCache>
            </c:numRef>
          </c:val>
        </c:ser>
        <c:ser>
          <c:idx val="2"/>
          <c:order val="2"/>
          <c:tx>
            <c:strRef>
              <c:f>perstation!$D$28</c:f>
              <c:strCache>
                <c:ptCount val="1"/>
                <c:pt idx="0">
                  <c:v>Avicennia marina</c:v>
                </c:pt>
              </c:strCache>
            </c:strRef>
          </c:tx>
          <c:invertIfNegative val="0"/>
          <c:errBars>
            <c:errBarType val="both"/>
            <c:errValType val="stdErr"/>
            <c:noEndCap val="0"/>
          </c:errBars>
          <c:cat>
            <c:strRef>
              <c:f>perstation!$E$25:$G$25</c:f>
              <c:strCache>
                <c:ptCount val="3"/>
                <c:pt idx="0">
                  <c:v>Root</c:v>
                </c:pt>
                <c:pt idx="1">
                  <c:v>Stem </c:v>
                </c:pt>
                <c:pt idx="2">
                  <c:v>Leaf </c:v>
                </c:pt>
              </c:strCache>
            </c:strRef>
          </c:cat>
          <c:val>
            <c:numRef>
              <c:f>perstation!$E$28:$G$28</c:f>
              <c:numCache>
                <c:formatCode>General</c:formatCode>
                <c:ptCount val="3"/>
                <c:pt idx="0">
                  <c:v>5.63</c:v>
                </c:pt>
                <c:pt idx="1">
                  <c:v>2.96</c:v>
                </c:pt>
                <c:pt idx="2">
                  <c:v>1.85</c:v>
                </c:pt>
              </c:numCache>
            </c:numRef>
          </c:val>
        </c:ser>
        <c:ser>
          <c:idx val="3"/>
          <c:order val="3"/>
          <c:tx>
            <c:strRef>
              <c:f>perstation!$D$29</c:f>
              <c:strCache>
                <c:ptCount val="1"/>
                <c:pt idx="0">
                  <c:v>sonneratia alba</c:v>
                </c:pt>
              </c:strCache>
            </c:strRef>
          </c:tx>
          <c:invertIfNegative val="0"/>
          <c:errBars>
            <c:errBarType val="both"/>
            <c:errValType val="stdErr"/>
            <c:noEndCap val="0"/>
          </c:errBars>
          <c:cat>
            <c:strRef>
              <c:f>perstation!$E$25:$G$25</c:f>
              <c:strCache>
                <c:ptCount val="3"/>
                <c:pt idx="0">
                  <c:v>Root</c:v>
                </c:pt>
                <c:pt idx="1">
                  <c:v>Stem </c:v>
                </c:pt>
                <c:pt idx="2">
                  <c:v>Leaf </c:v>
                </c:pt>
              </c:strCache>
            </c:strRef>
          </c:cat>
          <c:val>
            <c:numRef>
              <c:f>perstation!$E$29:$G$29</c:f>
              <c:numCache>
                <c:formatCode>General</c:formatCode>
                <c:ptCount val="3"/>
                <c:pt idx="0">
                  <c:v>5.34</c:v>
                </c:pt>
                <c:pt idx="1">
                  <c:v>3.61</c:v>
                </c:pt>
                <c:pt idx="2">
                  <c:v>2.1</c:v>
                </c:pt>
              </c:numCache>
            </c:numRef>
          </c:val>
        </c:ser>
        <c:ser>
          <c:idx val="4"/>
          <c:order val="4"/>
          <c:tx>
            <c:strRef>
              <c:f>perstation!$D$30</c:f>
              <c:strCache>
                <c:ptCount val="1"/>
                <c:pt idx="0">
                  <c:v>Aegiceras corniculatum</c:v>
                </c:pt>
              </c:strCache>
            </c:strRef>
          </c:tx>
          <c:invertIfNegative val="0"/>
          <c:errBars>
            <c:errBarType val="both"/>
            <c:errValType val="stdErr"/>
            <c:noEndCap val="0"/>
          </c:errBars>
          <c:cat>
            <c:strRef>
              <c:f>perstation!$E$25:$G$25</c:f>
              <c:strCache>
                <c:ptCount val="3"/>
                <c:pt idx="0">
                  <c:v>Root</c:v>
                </c:pt>
                <c:pt idx="1">
                  <c:v>Stem </c:v>
                </c:pt>
                <c:pt idx="2">
                  <c:v>Leaf </c:v>
                </c:pt>
              </c:strCache>
            </c:strRef>
          </c:cat>
          <c:val>
            <c:numRef>
              <c:f>perstation!$E$30:$G$30</c:f>
              <c:numCache>
                <c:formatCode>General</c:formatCode>
                <c:ptCount val="3"/>
                <c:pt idx="0">
                  <c:v>7.34</c:v>
                </c:pt>
                <c:pt idx="1">
                  <c:v>3.94</c:v>
                </c:pt>
                <c:pt idx="2">
                  <c:v>2.4500000000000002</c:v>
                </c:pt>
              </c:numCache>
            </c:numRef>
          </c:val>
        </c:ser>
        <c:ser>
          <c:idx val="5"/>
          <c:order val="5"/>
          <c:tx>
            <c:strRef>
              <c:f>perstation!$D$31</c:f>
              <c:strCache>
                <c:ptCount val="1"/>
                <c:pt idx="0">
                  <c:v>Sonneratiacaseolaris</c:v>
                </c:pt>
              </c:strCache>
            </c:strRef>
          </c:tx>
          <c:invertIfNegative val="0"/>
          <c:errBars>
            <c:errBarType val="both"/>
            <c:errValType val="stdErr"/>
            <c:noEndCap val="0"/>
          </c:errBars>
          <c:cat>
            <c:strRef>
              <c:f>perstation!$E$25:$G$25</c:f>
              <c:strCache>
                <c:ptCount val="3"/>
                <c:pt idx="0">
                  <c:v>Root</c:v>
                </c:pt>
                <c:pt idx="1">
                  <c:v>Stem </c:v>
                </c:pt>
                <c:pt idx="2">
                  <c:v>Leaf </c:v>
                </c:pt>
              </c:strCache>
            </c:strRef>
          </c:cat>
          <c:val>
            <c:numRef>
              <c:f>perstation!$E$31:$G$31</c:f>
              <c:numCache>
                <c:formatCode>General</c:formatCode>
                <c:ptCount val="3"/>
                <c:pt idx="0">
                  <c:v>7.29</c:v>
                </c:pt>
                <c:pt idx="1">
                  <c:v>7.67</c:v>
                </c:pt>
                <c:pt idx="2">
                  <c:v>1.62</c:v>
                </c:pt>
              </c:numCache>
            </c:numRef>
          </c:val>
        </c:ser>
        <c:ser>
          <c:idx val="6"/>
          <c:order val="6"/>
          <c:tx>
            <c:strRef>
              <c:f>perstation!$D$32</c:f>
              <c:strCache>
                <c:ptCount val="1"/>
                <c:pt idx="0">
                  <c:v>Acrosticum aureum</c:v>
                </c:pt>
              </c:strCache>
            </c:strRef>
          </c:tx>
          <c:invertIfNegative val="0"/>
          <c:errBars>
            <c:errBarType val="both"/>
            <c:errValType val="stdErr"/>
            <c:noEndCap val="0"/>
          </c:errBars>
          <c:cat>
            <c:strRef>
              <c:f>perstation!$E$25:$G$25</c:f>
              <c:strCache>
                <c:ptCount val="3"/>
                <c:pt idx="0">
                  <c:v>Root</c:v>
                </c:pt>
                <c:pt idx="1">
                  <c:v>Stem </c:v>
                </c:pt>
                <c:pt idx="2">
                  <c:v>Leaf </c:v>
                </c:pt>
              </c:strCache>
            </c:strRef>
          </c:cat>
          <c:val>
            <c:numRef>
              <c:f>perstation!$E$32:$G$32</c:f>
              <c:numCache>
                <c:formatCode>General</c:formatCode>
                <c:ptCount val="3"/>
                <c:pt idx="1">
                  <c:v>1.24</c:v>
                </c:pt>
              </c:numCache>
            </c:numRef>
          </c:val>
        </c:ser>
        <c:dLbls>
          <c:showLegendKey val="0"/>
          <c:showVal val="0"/>
          <c:showCatName val="0"/>
          <c:showSerName val="0"/>
          <c:showPercent val="0"/>
          <c:showBubbleSize val="0"/>
        </c:dLbls>
        <c:gapWidth val="150"/>
        <c:axId val="104999936"/>
        <c:axId val="105014016"/>
      </c:barChart>
      <c:catAx>
        <c:axId val="104999936"/>
        <c:scaling>
          <c:orientation val="minMax"/>
        </c:scaling>
        <c:delete val="0"/>
        <c:axPos val="b"/>
        <c:majorTickMark val="none"/>
        <c:minorTickMark val="none"/>
        <c:tickLblPos val="nextTo"/>
        <c:crossAx val="105014016"/>
        <c:crosses val="autoZero"/>
        <c:auto val="1"/>
        <c:lblAlgn val="ctr"/>
        <c:lblOffset val="100"/>
        <c:noMultiLvlLbl val="0"/>
      </c:catAx>
      <c:valAx>
        <c:axId val="105014016"/>
        <c:scaling>
          <c:orientation val="minMax"/>
          <c:min val="0"/>
        </c:scaling>
        <c:delete val="0"/>
        <c:axPos val="l"/>
        <c:majorGridlines/>
        <c:numFmt formatCode="#,##0.00" sourceLinked="0"/>
        <c:majorTickMark val="none"/>
        <c:minorTickMark val="none"/>
        <c:tickLblPos val="nextTo"/>
        <c:crossAx val="104999936"/>
        <c:crosses val="autoZero"/>
        <c:crossBetween val="between"/>
      </c:valAx>
    </c:plotArea>
    <c:legend>
      <c:legendPos val="r"/>
      <c:layout>
        <c:manualLayout>
          <c:xMode val="edge"/>
          <c:yMode val="edge"/>
          <c:x val="0.64536958344745021"/>
          <c:y val="0.25286430929413511"/>
          <c:w val="0.32952940545332876"/>
          <c:h val="0.65042783244018731"/>
        </c:manualLayout>
      </c:layout>
      <c:overlay val="0"/>
      <c:txPr>
        <a:bodyPr/>
        <a:lstStyle/>
        <a:p>
          <a:pPr>
            <a:defRPr sz="800"/>
          </a:pPr>
          <a:endParaRPr lang="en-US"/>
        </a:p>
      </c:txPr>
    </c:legend>
    <c:plotVisOnly val="1"/>
    <c:dispBlanksAs val="gap"/>
    <c:showDLblsOverMax val="0"/>
  </c:chart>
  <c:spPr>
    <a:noFill/>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a:t>lead accumulation in mangrove </a:t>
            </a:r>
          </a:p>
        </c:rich>
      </c:tx>
      <c:overlay val="0"/>
    </c:title>
    <c:autoTitleDeleted val="0"/>
    <c:plotArea>
      <c:layout>
        <c:manualLayout>
          <c:layoutTarget val="inner"/>
          <c:xMode val="edge"/>
          <c:yMode val="edge"/>
          <c:x val="0.12465419947506562"/>
          <c:y val="0.16089129483814524"/>
          <c:w val="0.6298182414698178"/>
          <c:h val="0.50442038495188057"/>
        </c:manualLayout>
      </c:layout>
      <c:barChart>
        <c:barDir val="col"/>
        <c:grouping val="clustered"/>
        <c:varyColors val="0"/>
        <c:ser>
          <c:idx val="0"/>
          <c:order val="0"/>
          <c:tx>
            <c:strRef>
              <c:f>Sheet1!$L$5</c:f>
              <c:strCache>
                <c:ptCount val="1"/>
                <c:pt idx="0">
                  <c:v>lead accumulation (ppm)</c:v>
                </c:pt>
              </c:strCache>
            </c:strRef>
          </c:tx>
          <c:invertIfNegative val="0"/>
          <c:dLbls>
            <c:dLblPos val="inEnd"/>
            <c:showLegendKey val="0"/>
            <c:showVal val="1"/>
            <c:showCatName val="0"/>
            <c:showSerName val="0"/>
            <c:showPercent val="0"/>
            <c:showBubbleSize val="0"/>
            <c:showLeaderLines val="0"/>
          </c:dLbls>
          <c:errBars>
            <c:errBarType val="both"/>
            <c:errValType val="stdErr"/>
            <c:noEndCap val="0"/>
          </c:errBars>
          <c:cat>
            <c:strRef>
              <c:f>Sheet1!$K$6:$K$15</c:f>
              <c:strCache>
                <c:ptCount val="10"/>
                <c:pt idx="0">
                  <c:v>Acrosticum aureum</c:v>
                </c:pt>
                <c:pt idx="1">
                  <c:v>Avicennia marina</c:v>
                </c:pt>
                <c:pt idx="2">
                  <c:v>Rhizophora mucronata</c:v>
                </c:pt>
                <c:pt idx="3">
                  <c:v>Bruguiera parviflora</c:v>
                </c:pt>
                <c:pt idx="4">
                  <c:v>Sonneratia alba</c:v>
                </c:pt>
                <c:pt idx="5">
                  <c:v>Aegiceras corniculatum</c:v>
                </c:pt>
                <c:pt idx="6">
                  <c:v>Bruguiera gymnorrhiza</c:v>
                </c:pt>
                <c:pt idx="7">
                  <c:v>Bruguiera sexangula</c:v>
                </c:pt>
                <c:pt idx="8">
                  <c:v>Rhizophora apiculata</c:v>
                </c:pt>
                <c:pt idx="9">
                  <c:v>Sonneratia caseolaris</c:v>
                </c:pt>
              </c:strCache>
            </c:strRef>
          </c:cat>
          <c:val>
            <c:numRef>
              <c:f>Sheet1!$L$6:$L$15</c:f>
              <c:numCache>
                <c:formatCode>0.00</c:formatCode>
                <c:ptCount val="10"/>
                <c:pt idx="0">
                  <c:v>1.24</c:v>
                </c:pt>
                <c:pt idx="1">
                  <c:v>3.5533333333333332</c:v>
                </c:pt>
                <c:pt idx="2">
                  <c:v>3.56</c:v>
                </c:pt>
                <c:pt idx="3">
                  <c:v>3.8966666666666607</c:v>
                </c:pt>
                <c:pt idx="4">
                  <c:v>4.236666666666677</c:v>
                </c:pt>
                <c:pt idx="5">
                  <c:v>4.9133333333333482</c:v>
                </c:pt>
                <c:pt idx="6">
                  <c:v>5.0566666666666684</c:v>
                </c:pt>
                <c:pt idx="7">
                  <c:v>5.17</c:v>
                </c:pt>
                <c:pt idx="8">
                  <c:v>5.26</c:v>
                </c:pt>
                <c:pt idx="9">
                  <c:v>5.5266666666666673</c:v>
                </c:pt>
              </c:numCache>
            </c:numRef>
          </c:val>
        </c:ser>
        <c:dLbls>
          <c:showLegendKey val="0"/>
          <c:showVal val="0"/>
          <c:showCatName val="0"/>
          <c:showSerName val="0"/>
          <c:showPercent val="0"/>
          <c:showBubbleSize val="0"/>
        </c:dLbls>
        <c:gapWidth val="150"/>
        <c:axId val="105035264"/>
        <c:axId val="105036800"/>
      </c:barChart>
      <c:catAx>
        <c:axId val="105035264"/>
        <c:scaling>
          <c:orientation val="minMax"/>
        </c:scaling>
        <c:delete val="0"/>
        <c:axPos val="b"/>
        <c:majorTickMark val="none"/>
        <c:minorTickMark val="none"/>
        <c:tickLblPos val="nextTo"/>
        <c:txPr>
          <a:bodyPr/>
          <a:lstStyle/>
          <a:p>
            <a:pPr>
              <a:defRPr sz="800"/>
            </a:pPr>
            <a:endParaRPr lang="en-US"/>
          </a:p>
        </c:txPr>
        <c:crossAx val="105036800"/>
        <c:crosses val="autoZero"/>
        <c:auto val="1"/>
        <c:lblAlgn val="ctr"/>
        <c:lblOffset val="100"/>
        <c:noMultiLvlLbl val="0"/>
      </c:catAx>
      <c:valAx>
        <c:axId val="105036800"/>
        <c:scaling>
          <c:orientation val="minMax"/>
        </c:scaling>
        <c:delete val="0"/>
        <c:axPos val="l"/>
        <c:majorGridlines/>
        <c:title>
          <c:tx>
            <c:rich>
              <a:bodyPr rot="-5400000" vert="horz"/>
              <a:lstStyle/>
              <a:p>
                <a:pPr>
                  <a:defRPr/>
                </a:pPr>
                <a:r>
                  <a:rPr lang="en-US"/>
                  <a:t>lead</a:t>
                </a:r>
                <a:r>
                  <a:rPr lang="en-US" baseline="0"/>
                  <a:t> accumulation (ppm)</a:t>
                </a:r>
                <a:endParaRPr lang="en-US"/>
              </a:p>
            </c:rich>
          </c:tx>
          <c:overlay val="0"/>
        </c:title>
        <c:numFmt formatCode="0.00" sourceLinked="1"/>
        <c:majorTickMark val="none"/>
        <c:minorTickMark val="none"/>
        <c:tickLblPos val="nextTo"/>
        <c:crossAx val="105035264"/>
        <c:crosses val="autoZero"/>
        <c:crossBetween val="between"/>
      </c:valAx>
    </c:plotArea>
    <c:legend>
      <c:legendPos val="r"/>
      <c:layout>
        <c:manualLayout>
          <c:xMode val="edge"/>
          <c:yMode val="edge"/>
          <c:x val="0.77391688538932668"/>
          <c:y val="0.40177566345873433"/>
          <c:w val="0.20941644794400752"/>
          <c:h val="0.19482830271216137"/>
        </c:manualLayout>
      </c:layout>
      <c:overlay val="0"/>
    </c:legend>
    <c:plotVisOnly val="1"/>
    <c:dispBlanksAs val="gap"/>
    <c:showDLblsOverMax val="0"/>
  </c:chart>
  <c:spPr>
    <a:noFill/>
    <a:ln>
      <a:no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akumulasi!$N$6</c:f>
              <c:strCache>
                <c:ptCount val="1"/>
                <c:pt idx="0">
                  <c:v>BAF</c:v>
                </c:pt>
              </c:strCache>
            </c:strRef>
          </c:tx>
          <c:invertIfNegative val="0"/>
          <c:cat>
            <c:multiLvlStrRef>
              <c:f>akumulasi!$L$7:$M$26</c:f>
              <c:multiLvlStrCache>
                <c:ptCount val="20"/>
                <c:lvl>
                  <c:pt idx="0">
                    <c:v>Ra</c:v>
                  </c:pt>
                  <c:pt idx="1">
                    <c:v>Rm</c:v>
                  </c:pt>
                  <c:pt idx="2">
                    <c:v>Am</c:v>
                  </c:pt>
                  <c:pt idx="3">
                    <c:v>Sa</c:v>
                  </c:pt>
                  <c:pt idx="4">
                    <c:v>Ac</c:v>
                  </c:pt>
                  <c:pt idx="5">
                    <c:v>Bg</c:v>
                  </c:pt>
                  <c:pt idx="6">
                    <c:v>Ra</c:v>
                  </c:pt>
                  <c:pt idx="7">
                    <c:v>Rm</c:v>
                  </c:pt>
                  <c:pt idx="8">
                    <c:v>Am</c:v>
                  </c:pt>
                  <c:pt idx="9">
                    <c:v>Ac</c:v>
                  </c:pt>
                  <c:pt idx="10">
                    <c:v>Ra</c:v>
                  </c:pt>
                  <c:pt idx="11">
                    <c:v>Bp</c:v>
                  </c:pt>
                  <c:pt idx="12">
                    <c:v>Sa</c:v>
                  </c:pt>
                  <c:pt idx="13">
                    <c:v>Bs</c:v>
                  </c:pt>
                  <c:pt idx="14">
                    <c:v>Ra</c:v>
                  </c:pt>
                  <c:pt idx="15">
                    <c:v>Rm</c:v>
                  </c:pt>
                  <c:pt idx="16">
                    <c:v>Am</c:v>
                  </c:pt>
                  <c:pt idx="17">
                    <c:v>Sa</c:v>
                  </c:pt>
                  <c:pt idx="18">
                    <c:v>Ac</c:v>
                  </c:pt>
                  <c:pt idx="19">
                    <c:v>Sc</c:v>
                  </c:pt>
                </c:lvl>
                <c:lvl>
                  <c:pt idx="0">
                    <c:v>1</c:v>
                  </c:pt>
                  <c:pt idx="6">
                    <c:v>2</c:v>
                  </c:pt>
                  <c:pt idx="10">
                    <c:v>3</c:v>
                  </c:pt>
                  <c:pt idx="14">
                    <c:v>4</c:v>
                  </c:pt>
                </c:lvl>
              </c:multiLvlStrCache>
            </c:multiLvlStrRef>
          </c:cat>
          <c:val>
            <c:numRef>
              <c:f>akumulasi!$N$7:$N$26</c:f>
              <c:numCache>
                <c:formatCode>0.0</c:formatCode>
                <c:ptCount val="20"/>
                <c:pt idx="0">
                  <c:v>18.50085470085477</c:v>
                </c:pt>
                <c:pt idx="1">
                  <c:v>17.489316239316164</c:v>
                </c:pt>
                <c:pt idx="2">
                  <c:v>15.41068376068376</c:v>
                </c:pt>
                <c:pt idx="3">
                  <c:v>14.598717948717949</c:v>
                </c:pt>
                <c:pt idx="4">
                  <c:v>21.572222222222173</c:v>
                </c:pt>
                <c:pt idx="5">
                  <c:v>19.437179487179485</c:v>
                </c:pt>
                <c:pt idx="6">
                  <c:v>20.963809523809523</c:v>
                </c:pt>
                <c:pt idx="7">
                  <c:v>21.926349206349109</c:v>
                </c:pt>
                <c:pt idx="8">
                  <c:v>18.19047619047619</c:v>
                </c:pt>
                <c:pt idx="9">
                  <c:v>26.053333333333249</c:v>
                </c:pt>
                <c:pt idx="10">
                  <c:v>44.74224343675418</c:v>
                </c:pt>
                <c:pt idx="11">
                  <c:v>27.902147971360275</c:v>
                </c:pt>
                <c:pt idx="12">
                  <c:v>37.49164677804287</c:v>
                </c:pt>
                <c:pt idx="13">
                  <c:v>37.019093078758949</c:v>
                </c:pt>
                <c:pt idx="14">
                  <c:v>59.083333333333329</c:v>
                </c:pt>
                <c:pt idx="15">
                  <c:v>21.496874999999999</c:v>
                </c:pt>
                <c:pt idx="16">
                  <c:v>32.622916666666654</c:v>
                </c:pt>
                <c:pt idx="17">
                  <c:v>34.538541666666525</c:v>
                </c:pt>
                <c:pt idx="18">
                  <c:v>42.881249999999994</c:v>
                </c:pt>
                <c:pt idx="19">
                  <c:v>51.803125000000001</c:v>
                </c:pt>
              </c:numCache>
            </c:numRef>
          </c:val>
        </c:ser>
        <c:ser>
          <c:idx val="1"/>
          <c:order val="1"/>
          <c:tx>
            <c:strRef>
              <c:f>akumulasi!$O$6</c:f>
              <c:strCache>
                <c:ptCount val="1"/>
                <c:pt idx="0">
                  <c:v>TF</c:v>
                </c:pt>
              </c:strCache>
            </c:strRef>
          </c:tx>
          <c:invertIfNegative val="0"/>
          <c:cat>
            <c:multiLvlStrRef>
              <c:f>akumulasi!$L$7:$M$26</c:f>
              <c:multiLvlStrCache>
                <c:ptCount val="20"/>
                <c:lvl>
                  <c:pt idx="0">
                    <c:v>Ra</c:v>
                  </c:pt>
                  <c:pt idx="1">
                    <c:v>Rm</c:v>
                  </c:pt>
                  <c:pt idx="2">
                    <c:v>Am</c:v>
                  </c:pt>
                  <c:pt idx="3">
                    <c:v>Sa</c:v>
                  </c:pt>
                  <c:pt idx="4">
                    <c:v>Ac</c:v>
                  </c:pt>
                  <c:pt idx="5">
                    <c:v>Bg</c:v>
                  </c:pt>
                  <c:pt idx="6">
                    <c:v>Ra</c:v>
                  </c:pt>
                  <c:pt idx="7">
                    <c:v>Rm</c:v>
                  </c:pt>
                  <c:pt idx="8">
                    <c:v>Am</c:v>
                  </c:pt>
                  <c:pt idx="9">
                    <c:v>Ac</c:v>
                  </c:pt>
                  <c:pt idx="10">
                    <c:v>Ra</c:v>
                  </c:pt>
                  <c:pt idx="11">
                    <c:v>Bp</c:v>
                  </c:pt>
                  <c:pt idx="12">
                    <c:v>Sa</c:v>
                  </c:pt>
                  <c:pt idx="13">
                    <c:v>Bs</c:v>
                  </c:pt>
                  <c:pt idx="14">
                    <c:v>Ra</c:v>
                  </c:pt>
                  <c:pt idx="15">
                    <c:v>Rm</c:v>
                  </c:pt>
                  <c:pt idx="16">
                    <c:v>Am</c:v>
                  </c:pt>
                  <c:pt idx="17">
                    <c:v>Sa</c:v>
                  </c:pt>
                  <c:pt idx="18">
                    <c:v>Ac</c:v>
                  </c:pt>
                  <c:pt idx="19">
                    <c:v>Sc</c:v>
                  </c:pt>
                </c:lvl>
                <c:lvl>
                  <c:pt idx="0">
                    <c:v>1</c:v>
                  </c:pt>
                  <c:pt idx="6">
                    <c:v>2</c:v>
                  </c:pt>
                  <c:pt idx="10">
                    <c:v>3</c:v>
                  </c:pt>
                  <c:pt idx="14">
                    <c:v>4</c:v>
                  </c:pt>
                </c:lvl>
              </c:multiLvlStrCache>
            </c:multiLvlStrRef>
          </c:cat>
          <c:val>
            <c:numRef>
              <c:f>akumulasi!$O$7:$O$26</c:f>
              <c:numCache>
                <c:formatCode>0.00</c:formatCode>
                <c:ptCount val="20"/>
                <c:pt idx="0">
                  <c:v>0.96424682395644279</c:v>
                </c:pt>
                <c:pt idx="1">
                  <c:v>0.9608547745675835</c:v>
                </c:pt>
                <c:pt idx="2">
                  <c:v>1.0997437987655758</c:v>
                </c:pt>
                <c:pt idx="3">
                  <c:v>1.240506329113924</c:v>
                </c:pt>
                <c:pt idx="4">
                  <c:v>1.2834976929340411</c:v>
                </c:pt>
                <c:pt idx="5">
                  <c:v>1.3633671083398287</c:v>
                </c:pt>
                <c:pt idx="6">
                  <c:v>1.1601570166830275</c:v>
                </c:pt>
                <c:pt idx="7">
                  <c:v>0.87054490304409204</c:v>
                </c:pt>
                <c:pt idx="8">
                  <c:v>0.99041267194664184</c:v>
                </c:pt>
                <c:pt idx="9">
                  <c:v>0.96560643801494561</c:v>
                </c:pt>
                <c:pt idx="10">
                  <c:v>1.266594124047878</c:v>
                </c:pt>
                <c:pt idx="11">
                  <c:v>1.1064864864864865</c:v>
                </c:pt>
                <c:pt idx="12">
                  <c:v>0.91760253906249989</c:v>
                </c:pt>
                <c:pt idx="13">
                  <c:v>0.78821766197832488</c:v>
                </c:pt>
                <c:pt idx="14">
                  <c:v>1.6326293803666738</c:v>
                </c:pt>
                <c:pt idx="15">
                  <c:v>0.56281711472926799</c:v>
                </c:pt>
                <c:pt idx="16">
                  <c:v>0.85412349772068064</c:v>
                </c:pt>
                <c:pt idx="17">
                  <c:v>1.0679181738805041</c:v>
                </c:pt>
                <c:pt idx="18">
                  <c:v>0.87024669483440165</c:v>
                </c:pt>
                <c:pt idx="19">
                  <c:v>1.2754975978037062</c:v>
                </c:pt>
              </c:numCache>
            </c:numRef>
          </c:val>
        </c:ser>
        <c:dLbls>
          <c:showLegendKey val="0"/>
          <c:showVal val="1"/>
          <c:showCatName val="0"/>
          <c:showSerName val="0"/>
          <c:showPercent val="0"/>
          <c:showBubbleSize val="0"/>
        </c:dLbls>
        <c:gapWidth val="75"/>
        <c:shape val="box"/>
        <c:axId val="123811712"/>
        <c:axId val="123813248"/>
        <c:axId val="0"/>
      </c:bar3DChart>
      <c:catAx>
        <c:axId val="123811712"/>
        <c:scaling>
          <c:orientation val="minMax"/>
        </c:scaling>
        <c:delete val="0"/>
        <c:axPos val="b"/>
        <c:majorTickMark val="none"/>
        <c:minorTickMark val="none"/>
        <c:tickLblPos val="nextTo"/>
        <c:crossAx val="123813248"/>
        <c:crosses val="autoZero"/>
        <c:auto val="1"/>
        <c:lblAlgn val="ctr"/>
        <c:lblOffset val="100"/>
        <c:noMultiLvlLbl val="0"/>
      </c:catAx>
      <c:valAx>
        <c:axId val="123813248"/>
        <c:scaling>
          <c:orientation val="minMax"/>
        </c:scaling>
        <c:delete val="0"/>
        <c:axPos val="l"/>
        <c:numFmt formatCode="0.0" sourceLinked="1"/>
        <c:majorTickMark val="none"/>
        <c:minorTickMark val="none"/>
        <c:tickLblPos val="nextTo"/>
        <c:crossAx val="123811712"/>
        <c:crosses val="autoZero"/>
        <c:crossBetween val="between"/>
      </c:valAx>
    </c:plotArea>
    <c:legend>
      <c:legendPos val="b"/>
      <c:overlay val="0"/>
    </c:legend>
    <c:plotVisOnly val="1"/>
    <c:dispBlanksAs val="gap"/>
    <c:showDLblsOverMax val="0"/>
  </c:chart>
  <c:spPr>
    <a:noFill/>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753</Words>
  <Characters>4295</Characters>
  <Application>Microsoft Office Word</Application>
  <DocSecurity>0</DocSecurity>
  <Lines>35</Lines>
  <Paragraphs>10</Paragraphs>
  <ScaleCrop>false</ScaleCrop>
  <Company>Toshiba</Company>
  <LinksUpToDate>false</LinksUpToDate>
  <CharactersWithSpaces>5038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2</cp:revision>
  <dcterms:created xsi:type="dcterms:W3CDTF">2016-11-07T01:49:00Z</dcterms:created>
  <dcterms:modified xsi:type="dcterms:W3CDTF">2016-11-07T01:52:00Z</dcterms:modified>
</cp:coreProperties>
</file>